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宋体"/>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720" w:lineRule="auto"/>
        <w:jc w:val="center"/>
        <w:rPr>
          <w:rFonts w:ascii="宋体"/>
          <w:b/>
          <w:color w:val="000000" w:themeColor="text1"/>
          <w:sz w:val="96"/>
          <w:szCs w:val="96"/>
          <w14:textFill>
            <w14:solidFill>
              <w14:schemeClr w14:val="tx1"/>
            </w14:solidFill>
          </w14:textFill>
        </w:rPr>
      </w:pPr>
      <w:r>
        <w:rPr>
          <w:rFonts w:hint="eastAsia" w:ascii="宋体" w:hAnsi="宋体"/>
          <w:b/>
          <w:color w:val="000000" w:themeColor="text1"/>
          <w:sz w:val="96"/>
          <w:szCs w:val="96"/>
          <w14:textFill>
            <w14:solidFill>
              <w14:schemeClr w14:val="tx1"/>
            </w14:solidFill>
          </w14:textFill>
        </w:rPr>
        <w:t>招标文件</w:t>
      </w: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left"/>
        <w:rPr>
          <w:rFonts w:ascii="宋体"/>
          <w:b/>
          <w:color w:val="000000" w:themeColor="text1"/>
          <w:sz w:val="36"/>
          <w:szCs w:val="36"/>
          <w14:textFill>
            <w14:solidFill>
              <w14:schemeClr w14:val="tx1"/>
            </w14:solidFill>
          </w14:textFill>
        </w:rPr>
      </w:pPr>
    </w:p>
    <w:p>
      <w:pPr>
        <w:spacing w:line="500" w:lineRule="exact"/>
        <w:jc w:val="left"/>
        <w:rPr>
          <w:rFonts w:ascii="宋体"/>
          <w:b/>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eastAsia="宋体"/>
          <w:b/>
          <w:color w:val="000000" w:themeColor="text1"/>
          <w:sz w:val="32"/>
          <w:szCs w:val="32"/>
          <w:lang w:val="en-US" w:eastAsia="zh-CN"/>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项</w:t>
      </w:r>
      <w:r>
        <w:rPr>
          <w:rFonts w:hint="eastAsia" w:ascii="宋体" w:hAnsi="宋体" w:cs="宋体"/>
          <w:b/>
          <w:color w:val="000000" w:themeColor="text1"/>
          <w:sz w:val="32"/>
          <w:szCs w:val="32"/>
          <w14:textFill>
            <w14:solidFill>
              <w14:schemeClr w14:val="tx1"/>
            </w14:solidFill>
          </w14:textFill>
        </w:rPr>
        <w:t>目名称：</w:t>
      </w:r>
      <w:r>
        <w:rPr>
          <w:rFonts w:hint="eastAsia" w:ascii="宋体" w:hAnsi="宋体" w:cs="宋体"/>
          <w:b/>
          <w:color w:val="000000" w:themeColor="text1"/>
          <w:sz w:val="32"/>
          <w:szCs w:val="32"/>
          <w:lang w:eastAsia="zh-CN"/>
          <w14:textFill>
            <w14:solidFill>
              <w14:schemeClr w14:val="tx1"/>
            </w14:solidFill>
          </w14:textFill>
        </w:rPr>
        <w:t>龙冈消防站彩色喷泉工程设备采购项目</w:t>
      </w:r>
    </w:p>
    <w:p>
      <w:pPr>
        <w:spacing w:line="500" w:lineRule="exact"/>
        <w:ind w:firstLine="1446" w:firstLineChars="400"/>
        <w:jc w:val="left"/>
        <w:rPr>
          <w:rFonts w:ascii="宋体"/>
          <w:b/>
          <w:color w:val="000000" w:themeColor="text1"/>
          <w:sz w:val="36"/>
          <w:szCs w:val="36"/>
          <w14:textFill>
            <w14:solidFill>
              <w14:schemeClr w14:val="tx1"/>
            </w14:solidFill>
          </w14:textFill>
        </w:rPr>
      </w:pPr>
    </w:p>
    <w:p>
      <w:pPr>
        <w:spacing w:line="500" w:lineRule="exact"/>
        <w:rPr>
          <w:rFonts w:ascii="宋体"/>
          <w:b/>
          <w:color w:val="000000" w:themeColor="text1"/>
          <w:sz w:val="24"/>
          <w:szCs w:val="24"/>
          <w14:textFill>
            <w14:solidFill>
              <w14:schemeClr w14:val="tx1"/>
            </w14:solidFill>
          </w14:textFill>
        </w:rPr>
      </w:pPr>
    </w:p>
    <w:p>
      <w:pPr>
        <w:spacing w:line="500" w:lineRule="exact"/>
        <w:rPr>
          <w:rFonts w:ascii="宋体"/>
          <w:b/>
          <w:color w:val="000000" w:themeColor="text1"/>
          <w:sz w:val="24"/>
          <w:szCs w:val="24"/>
          <w14:textFill>
            <w14:solidFill>
              <w14:schemeClr w14:val="tx1"/>
            </w14:solidFill>
          </w14:textFill>
        </w:rPr>
      </w:pPr>
    </w:p>
    <w:p>
      <w:pPr>
        <w:spacing w:line="500" w:lineRule="exact"/>
        <w:rPr>
          <w:rFonts w:ascii="宋体"/>
          <w:b/>
          <w:color w:val="000000" w:themeColor="text1"/>
          <w:sz w:val="24"/>
          <w:szCs w:val="24"/>
          <w14:textFill>
            <w14:solidFill>
              <w14:schemeClr w14:val="tx1"/>
            </w14:solidFill>
          </w14:textFill>
        </w:rPr>
      </w:pPr>
    </w:p>
    <w:p>
      <w:pPr>
        <w:spacing w:line="500" w:lineRule="exact"/>
        <w:rPr>
          <w:rFonts w:ascii="宋体"/>
          <w:b/>
          <w:color w:val="000000" w:themeColor="text1"/>
          <w:sz w:val="24"/>
          <w:szCs w:val="24"/>
          <w14:textFill>
            <w14:solidFill>
              <w14:schemeClr w14:val="tx1"/>
            </w14:solidFill>
          </w14:textFill>
        </w:rPr>
      </w:pPr>
    </w:p>
    <w:p>
      <w:pPr>
        <w:spacing w:line="500" w:lineRule="exact"/>
        <w:jc w:val="center"/>
        <w:rPr>
          <w:rFonts w:ascii="宋体" w:cs="黑体"/>
          <w:bCs/>
          <w:color w:val="000000" w:themeColor="text1"/>
          <w:spacing w:val="15"/>
          <w:sz w:val="32"/>
          <w:szCs w:val="32"/>
          <w14:textFill>
            <w14:solidFill>
              <w14:schemeClr w14:val="tx1"/>
            </w14:solidFill>
          </w14:textFill>
        </w:rPr>
      </w:pPr>
    </w:p>
    <w:p>
      <w:pPr>
        <w:spacing w:line="500" w:lineRule="exact"/>
        <w:jc w:val="center"/>
        <w:rPr>
          <w:rFonts w:hint="default" w:ascii="宋体" w:eastAsia="宋体"/>
          <w:color w:val="000000" w:themeColor="text1"/>
          <w:sz w:val="32"/>
          <w:szCs w:val="32"/>
          <w:lang w:val="en-US" w:eastAsia="zh-CN"/>
          <w14:textFill>
            <w14:solidFill>
              <w14:schemeClr w14:val="tx1"/>
            </w14:solidFill>
          </w14:textFill>
        </w:rPr>
      </w:pPr>
      <w:r>
        <w:rPr>
          <w:rFonts w:hint="eastAsia" w:ascii="宋体"/>
          <w:color w:val="000000" w:themeColor="text1"/>
          <w:sz w:val="32"/>
          <w:szCs w:val="32"/>
          <w:lang w:val="en-US" w:eastAsia="zh-CN"/>
          <w14:textFill>
            <w14:solidFill>
              <w14:schemeClr w14:val="tx1"/>
            </w14:solidFill>
          </w14:textFill>
        </w:rPr>
        <w:t xml:space="preserve">盐城市盐都区国有资产投资经营有限公司 </w:t>
      </w:r>
    </w:p>
    <w:p>
      <w:pPr>
        <w:spacing w:line="500" w:lineRule="exact"/>
        <w:jc w:val="center"/>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lang w:val="en-US" w:eastAsia="zh-CN"/>
          <w14:textFill>
            <w14:solidFill>
              <w14:schemeClr w14:val="tx1"/>
            </w14:solidFill>
          </w14:textFill>
        </w:rPr>
        <w:t>2022年 3月</w:t>
      </w:r>
    </w:p>
    <w:p>
      <w:pPr>
        <w:spacing w:line="500" w:lineRule="exact"/>
        <w:jc w:val="center"/>
        <w:rPr>
          <w:rFonts w:ascii="宋体"/>
          <w:color w:val="000000" w:themeColor="text1"/>
          <w:sz w:val="32"/>
          <w:szCs w:val="32"/>
          <w14:textFill>
            <w14:solidFill>
              <w14:schemeClr w14:val="tx1"/>
            </w14:solidFill>
          </w14:textFill>
        </w:rPr>
      </w:pPr>
    </w:p>
    <w:p>
      <w:pPr>
        <w:widowControl/>
        <w:jc w:val="center"/>
        <w:rPr>
          <w:rFonts w:hint="eastAsia" w:ascii="宋体" w:hAnsi="宋体"/>
          <w:b/>
          <w:color w:val="000000" w:themeColor="text1"/>
          <w:sz w:val="36"/>
          <w:szCs w:val="36"/>
          <w14:textFill>
            <w14:solidFill>
              <w14:schemeClr w14:val="tx1"/>
            </w14:solidFill>
          </w14:textFill>
        </w:rPr>
        <w:sectPr>
          <w:footerReference r:id="rId3" w:type="default"/>
          <w:footerReference r:id="rId4" w:type="even"/>
          <w:pgSz w:w="11906" w:h="16838"/>
          <w:pgMar w:top="1418" w:right="1588" w:bottom="1418" w:left="1365" w:header="851" w:footer="907" w:gutter="0"/>
          <w:pgNumType w:fmt="numberInDash" w:start="0"/>
          <w:cols w:space="425" w:num="1"/>
          <w:titlePg/>
          <w:docGrid w:type="lines" w:linePitch="290" w:charSpace="0"/>
        </w:sectPr>
      </w:pPr>
      <w:bookmarkStart w:id="0" w:name="_Toc120614210"/>
      <w:bookmarkStart w:id="1" w:name="_Toc523127445"/>
      <w:bookmarkStart w:id="2" w:name="_Toc479757206"/>
      <w:bookmarkStart w:id="3" w:name="_Toc20823272"/>
      <w:bookmarkStart w:id="4" w:name="_Toc513029200"/>
      <w:bookmarkStart w:id="5" w:name="_Toc16938516"/>
    </w:p>
    <w:p>
      <w:pPr>
        <w:widowControl/>
        <w:jc w:val="center"/>
        <w:rPr>
          <w:rFonts w:ascii="宋体" w:hAnsi="宋体"/>
          <w:b/>
          <w:bCs/>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第一章</w:t>
      </w:r>
      <w:bookmarkEnd w:id="0"/>
      <w:r>
        <w:rPr>
          <w:rFonts w:hint="eastAsia" w:ascii="宋体" w:hAnsi="宋体"/>
          <w:b/>
          <w:color w:val="000000" w:themeColor="text1"/>
          <w:sz w:val="36"/>
          <w:szCs w:val="36"/>
          <w14:textFill>
            <w14:solidFill>
              <w14:schemeClr w14:val="tx1"/>
            </w14:solidFill>
          </w14:textFill>
        </w:rPr>
        <w:t xml:space="preserve">  招标公告</w:t>
      </w:r>
    </w:p>
    <w:p>
      <w:pPr>
        <w:pStyle w:val="3"/>
        <w:tabs>
          <w:tab w:val="left" w:pos="0"/>
          <w:tab w:val="left" w:pos="3165"/>
          <w:tab w:val="center" w:pos="4153"/>
        </w:tabs>
        <w:autoSpaceDE w:val="0"/>
        <w:autoSpaceDN w:val="0"/>
        <w:adjustRightInd w:val="0"/>
        <w:spacing w:line="480" w:lineRule="exact"/>
        <w:jc w:val="left"/>
        <w:rPr>
          <w:rFonts w:hint="eastAsia" w:ascii="宋体" w:hAnsi="宋体" w:eastAsia="宋体" w:cs="宋体"/>
          <w:sz w:val="24"/>
          <w:szCs w:val="24"/>
        </w:rPr>
      </w:pPr>
      <w:bookmarkStart w:id="6" w:name="_Toc35393790"/>
      <w:bookmarkStart w:id="7" w:name="_Toc28359002"/>
      <w:bookmarkStart w:id="8" w:name="_Toc28359079"/>
      <w:bookmarkStart w:id="9" w:name="_Toc35393621"/>
      <w:bookmarkStart w:id="10" w:name="_Hlk24379207"/>
      <w:bookmarkStart w:id="11" w:name="_Toc35393639"/>
      <w:bookmarkStart w:id="12" w:name="_Toc28359021"/>
      <w:bookmarkStart w:id="13" w:name="_Toc28359098"/>
      <w:bookmarkStart w:id="14" w:name="_Toc35393808"/>
      <w:bookmarkStart w:id="15" w:name="_Toc120614211"/>
      <w:r>
        <w:rPr>
          <w:rFonts w:hint="eastAsia" w:ascii="宋体" w:hAnsi="宋体" w:eastAsia="宋体" w:cs="宋体"/>
          <w:sz w:val="24"/>
          <w:szCs w:val="24"/>
        </w:rPr>
        <w:t>一、项目基本情况</w:t>
      </w:r>
      <w:bookmarkEnd w:id="6"/>
      <w:bookmarkEnd w:id="7"/>
      <w:bookmarkEnd w:id="8"/>
      <w:bookmarkEnd w:id="9"/>
    </w:p>
    <w:p>
      <w:pPr>
        <w:spacing w:line="480" w:lineRule="exact"/>
        <w:ind w:firstLine="480" w:firstLineChars="200"/>
        <w:rPr>
          <w:rFonts w:hint="eastAsia" w:ascii="宋体" w:hAnsi="宋体" w:eastAsia="宋体" w:cs="宋体"/>
          <w:sz w:val="24"/>
          <w:szCs w:val="24"/>
          <w:u w:val="single"/>
          <w:lang w:eastAsia="zh-CN"/>
        </w:rPr>
      </w:pPr>
      <w:r>
        <w:rPr>
          <w:rFonts w:hint="eastAsia" w:ascii="宋体" w:hAnsi="宋体" w:cs="宋体"/>
          <w:sz w:val="24"/>
          <w:szCs w:val="24"/>
        </w:rPr>
        <w:t>项目名称：</w:t>
      </w:r>
      <w:r>
        <w:rPr>
          <w:rFonts w:hint="eastAsia" w:ascii="宋体" w:hAnsi="宋体" w:cs="宋体"/>
          <w:sz w:val="24"/>
          <w:szCs w:val="24"/>
          <w:u w:val="single"/>
          <w:lang w:eastAsia="zh-CN"/>
        </w:rPr>
        <w:t>龙冈消防站彩色喷泉工程设备采购项目</w:t>
      </w:r>
    </w:p>
    <w:bookmarkEnd w:id="10"/>
    <w:p>
      <w:pPr>
        <w:spacing w:line="480" w:lineRule="exact"/>
        <w:ind w:firstLine="480" w:firstLineChars="200"/>
        <w:rPr>
          <w:rFonts w:hint="eastAsia" w:ascii="宋体" w:hAnsi="宋体" w:cs="宋体"/>
          <w:sz w:val="24"/>
          <w:szCs w:val="24"/>
        </w:rPr>
      </w:pPr>
      <w:r>
        <w:rPr>
          <w:rFonts w:hint="eastAsia" w:ascii="宋体" w:hAnsi="宋体" w:cs="宋体"/>
          <w:sz w:val="24"/>
          <w:szCs w:val="24"/>
        </w:rPr>
        <w:t>预算金额：</w:t>
      </w:r>
      <w:r>
        <w:rPr>
          <w:rFonts w:hint="eastAsia" w:ascii="宋体" w:hAnsi="宋体"/>
          <w:color w:val="000000" w:themeColor="text1"/>
          <w:sz w:val="24"/>
          <w:szCs w:val="24"/>
          <w:u w:val="single"/>
          <w:lang w:val="en-US" w:eastAsia="zh-CN"/>
          <w14:textFill>
            <w14:solidFill>
              <w14:schemeClr w14:val="tx1"/>
            </w14:solidFill>
          </w14:textFill>
        </w:rPr>
        <w:t>229213.44</w:t>
      </w:r>
      <w:r>
        <w:rPr>
          <w:rFonts w:hint="eastAsia" w:ascii="宋体" w:hAnsi="宋体" w:cs="宋体"/>
          <w:sz w:val="24"/>
          <w:szCs w:val="24"/>
        </w:rPr>
        <w:t>元</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最高限价：</w:t>
      </w:r>
      <w:r>
        <w:rPr>
          <w:rFonts w:hint="eastAsia" w:ascii="宋体" w:hAnsi="宋体"/>
          <w:color w:val="000000" w:themeColor="text1"/>
          <w:sz w:val="24"/>
          <w:szCs w:val="24"/>
          <w:u w:val="single"/>
          <w:lang w:val="en-US" w:eastAsia="zh-CN"/>
          <w14:textFill>
            <w14:solidFill>
              <w14:schemeClr w14:val="tx1"/>
            </w14:solidFill>
          </w14:textFill>
        </w:rPr>
        <w:t>229213.44</w:t>
      </w:r>
      <w:r>
        <w:rPr>
          <w:rFonts w:hint="eastAsia" w:ascii="宋体" w:hAnsi="宋体" w:cs="宋体"/>
          <w:sz w:val="24"/>
          <w:szCs w:val="24"/>
        </w:rPr>
        <w:t>元</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采购需求：</w:t>
      </w:r>
      <w:r>
        <w:rPr>
          <w:rFonts w:hint="eastAsia" w:ascii="宋体" w:hAnsi="宋体" w:cs="宋体"/>
          <w:sz w:val="24"/>
          <w:szCs w:val="24"/>
          <w:u w:val="none"/>
        </w:rPr>
        <w:t>（详见招标文件）</w:t>
      </w:r>
    </w:p>
    <w:p>
      <w:pPr>
        <w:spacing w:line="360" w:lineRule="auto"/>
        <w:ind w:firstLine="480" w:firstLineChars="200"/>
        <w:rPr>
          <w:rFonts w:hint="eastAsia" w:ascii="宋体" w:hAnsi="宋体"/>
          <w:sz w:val="24"/>
        </w:rPr>
      </w:pPr>
      <w:bookmarkStart w:id="16" w:name="_Toc35393791"/>
      <w:bookmarkStart w:id="17" w:name="_Toc28359003"/>
      <w:bookmarkStart w:id="18" w:name="_Toc28359080"/>
      <w:bookmarkStart w:id="19" w:name="_Toc35393622"/>
      <w:r>
        <w:rPr>
          <w:rFonts w:hint="eastAsia" w:ascii="宋体" w:hAnsi="宋体"/>
          <w:sz w:val="24"/>
          <w:lang w:val="en-US" w:eastAsia="zh-CN"/>
        </w:rPr>
        <w:t>工期</w:t>
      </w:r>
      <w:r>
        <w:rPr>
          <w:rFonts w:hint="eastAsia" w:ascii="宋体" w:hAnsi="宋体"/>
          <w:sz w:val="24"/>
        </w:rPr>
        <w:t>：</w:t>
      </w:r>
      <w:r>
        <w:rPr>
          <w:rFonts w:hint="eastAsia" w:ascii="宋体" w:hAnsi="宋体"/>
          <w:sz w:val="24"/>
          <w:u w:val="single"/>
          <w:lang w:val="en-US" w:eastAsia="zh-CN"/>
        </w:rPr>
        <w:t>20日历天，具体满足采购人要求</w:t>
      </w:r>
    </w:p>
    <w:p>
      <w:pPr>
        <w:pStyle w:val="3"/>
        <w:tabs>
          <w:tab w:val="left" w:pos="0"/>
          <w:tab w:val="left" w:pos="3165"/>
          <w:tab w:val="center" w:pos="4153"/>
        </w:tabs>
        <w:autoSpaceDE w:val="0"/>
        <w:autoSpaceDN w:val="0"/>
        <w:adjustRightIn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二、申请人的资格要求：</w:t>
      </w:r>
      <w:bookmarkEnd w:id="16"/>
      <w:bookmarkEnd w:id="17"/>
      <w:bookmarkEnd w:id="18"/>
      <w:bookmarkEnd w:id="19"/>
    </w:p>
    <w:p>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1.1具有独立承担民事责任的能力；</w:t>
      </w:r>
    </w:p>
    <w:p>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1.2具有良好的商业信誉和健全的财务会计制度；</w:t>
      </w:r>
    </w:p>
    <w:p>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1.3具有履行合同所必需的设备和专业技术能力；</w:t>
      </w:r>
    </w:p>
    <w:p>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1.4有依法缴纳税收和社会保障资金的良好记录等；</w:t>
      </w:r>
    </w:p>
    <w:p>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1.5参加政府采购活动前三年内，在经营活动中没有重大违法记录； </w:t>
      </w:r>
    </w:p>
    <w:p>
      <w:p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1.6法律、行政法规规定的其他条件。</w:t>
      </w:r>
    </w:p>
    <w:p>
      <w:pPr>
        <w:numPr>
          <w:ilvl w:val="0"/>
          <w:numId w:val="2"/>
        </w:num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落实政府采购政策需满足的资格要求：无；  </w:t>
      </w:r>
    </w:p>
    <w:p>
      <w:pPr>
        <w:numPr>
          <w:ilvl w:val="0"/>
          <w:numId w:val="2"/>
        </w:numPr>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 xml:space="preserve">营业执照包含本次招标内容。                          </w:t>
      </w:r>
    </w:p>
    <w:p>
      <w:pPr>
        <w:spacing w:line="480" w:lineRule="exact"/>
        <w:ind w:firstLine="480" w:firstLineChars="200"/>
        <w:rPr>
          <w:rFonts w:hint="eastAsia" w:ascii="宋体" w:hAnsi="宋体" w:cs="宋体"/>
          <w:sz w:val="24"/>
          <w:szCs w:val="24"/>
        </w:rPr>
      </w:pPr>
      <w:r>
        <w:rPr>
          <w:rFonts w:hint="eastAsia" w:ascii="宋体" w:hAnsi="宋体" w:cs="宋体"/>
          <w:sz w:val="24"/>
          <w:szCs w:val="24"/>
          <w:lang w:val="en-US" w:eastAsia="zh-CN"/>
        </w:rPr>
        <w:t>三</w:t>
      </w:r>
      <w:r>
        <w:rPr>
          <w:rFonts w:hint="eastAsia" w:ascii="宋体" w:hAnsi="宋体" w:cs="宋体"/>
          <w:sz w:val="24"/>
          <w:szCs w:val="24"/>
        </w:rPr>
        <w:t>、提交投标文件截止时间、开标时间和地点</w:t>
      </w:r>
    </w:p>
    <w:p>
      <w:pPr>
        <w:spacing w:line="480" w:lineRule="exact"/>
        <w:ind w:firstLine="480" w:firstLineChars="200"/>
        <w:rPr>
          <w:rFonts w:hint="eastAsia" w:ascii="宋体" w:hAnsi="宋体" w:cs="宋体"/>
          <w:sz w:val="24"/>
          <w:szCs w:val="24"/>
          <w:lang w:val="en-US" w:eastAsia="zh-CN"/>
        </w:rPr>
      </w:pPr>
      <w:bookmarkStart w:id="20" w:name="_Toc35393795"/>
      <w:bookmarkStart w:id="21" w:name="_Toc35393626"/>
      <w:r>
        <w:rPr>
          <w:rFonts w:hint="eastAsia" w:ascii="宋体" w:hAnsi="宋体" w:cs="宋体"/>
          <w:sz w:val="24"/>
          <w:szCs w:val="24"/>
          <w:lang w:val="en-US" w:eastAsia="zh-CN"/>
        </w:rPr>
        <w:t>招标公告发布后，凡具备以上资格条件，并自愿参加本项目投标报名的申请人，请申请人于2022年3月17日至2022年3月21日，每日上午8：30时至12：00时，下午14：00时至17：30时。携带投标申请人单位介绍信及身份证到江苏智汇锡建工程项目管理有限公司（盐都区瞰都公馆10号楼10楼，新都路与西环路交界处西南角）；联系电话：15851041231）购买招标文件后方可参加投标，招标文件工本费500元，售后不退。</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本项目开标时间为2022年3月22日下午15时。</w:t>
      </w:r>
    </w:p>
    <w:p>
      <w:pPr>
        <w:pStyle w:val="16"/>
        <w:ind w:firstLine="480" w:firstLineChars="20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开标地点：盐城市盐都区国有资产投资经营有限公司三楼会议室。</w:t>
      </w:r>
    </w:p>
    <w:p>
      <w:pPr>
        <w:spacing w:line="480" w:lineRule="exact"/>
        <w:rPr>
          <w:rFonts w:hint="eastAsia" w:ascii="宋体" w:hAnsi="宋体" w:cs="宋体"/>
          <w:sz w:val="24"/>
          <w:szCs w:val="24"/>
          <w:lang w:val="en-US" w:eastAsia="zh-CN"/>
        </w:rPr>
      </w:pPr>
      <w:r>
        <w:rPr>
          <w:rFonts w:hint="eastAsia" w:ascii="宋体" w:hAnsi="宋体" w:cs="宋体"/>
          <w:sz w:val="24"/>
          <w:szCs w:val="24"/>
          <w:lang w:val="en-US" w:eastAsia="zh-CN"/>
        </w:rPr>
        <w:t xml:space="preserve">   四、投标保证金</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本项目保证金数额为人民币4000元整。投标人必须在投标截止时间前将投标保证金从投标人本单位的基本账户上直接转（汇）至盐城市盐都区国有资产投资经营有限公司帐户（收款单位：盐城市盐都区国有资产投资经营有限公司；开户银行：建行盐城城南支行 ；账号：32001735038059500008），投标保证金可采用转账或电汇方式，投标保证金汇出单位必须与投标报名单位名称完全一致。</w:t>
      </w:r>
    </w:p>
    <w:p>
      <w:pPr>
        <w:spacing w:line="48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在投标文件递交截止时间前，投标人将投标保证金缴纳汇款凭证交工作人员核验，否则视为投标人未交纳投标保证金。未按招标文件约定要求缴纳投标保证金，其投标文件不予接收。</w:t>
      </w:r>
    </w:p>
    <w:p>
      <w:pPr>
        <w:spacing w:line="48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五、评标办法：综合评分法。</w:t>
      </w:r>
    </w:p>
    <w:bookmarkEnd w:id="20"/>
    <w:bookmarkEnd w:id="21"/>
    <w:p>
      <w:pPr>
        <w:spacing w:line="480" w:lineRule="exact"/>
        <w:ind w:firstLine="480" w:firstLineChars="200"/>
        <w:rPr>
          <w:rFonts w:hint="eastAsia" w:ascii="宋体" w:hAnsi="宋体" w:eastAsia="宋体" w:cs="宋体"/>
          <w:sz w:val="24"/>
          <w:szCs w:val="24"/>
          <w:lang w:val="en-US" w:eastAsia="zh-CN"/>
        </w:rPr>
      </w:pPr>
      <w:bookmarkStart w:id="22" w:name="_Toc28359008"/>
      <w:bookmarkStart w:id="23" w:name="_Toc28359085"/>
      <w:bookmarkStart w:id="24" w:name="_Toc35393796"/>
      <w:bookmarkStart w:id="25" w:name="_Toc35393627"/>
      <w:r>
        <w:rPr>
          <w:rFonts w:hint="eastAsia" w:ascii="宋体" w:hAnsi="宋体" w:eastAsia="宋体" w:cs="宋体"/>
          <w:sz w:val="24"/>
          <w:szCs w:val="24"/>
          <w:lang w:val="en-US" w:eastAsia="zh-CN"/>
        </w:rPr>
        <w:t>六、对本次招标提出询问，请按以下方式联系。</w:t>
      </w:r>
      <w:bookmarkEnd w:id="22"/>
      <w:bookmarkEnd w:id="23"/>
      <w:bookmarkEnd w:id="24"/>
      <w:bookmarkEnd w:id="25"/>
      <w:bookmarkStart w:id="26" w:name="_Toc28359019"/>
      <w:bookmarkStart w:id="27" w:name="_Toc35393637"/>
      <w:bookmarkStart w:id="28" w:name="_Toc28359096"/>
      <w:bookmarkStart w:id="29" w:name="_Toc35393806"/>
    </w:p>
    <w:p>
      <w:pPr>
        <w:spacing w:line="48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七、联系人信息</w:t>
      </w:r>
    </w:p>
    <w:bookmarkEnd w:id="26"/>
    <w:bookmarkEnd w:id="27"/>
    <w:bookmarkEnd w:id="28"/>
    <w:bookmarkEnd w:id="29"/>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招标人名称：盐城市盐都区国有资产投资经营有限公司</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招标人联系人：周澍       联系电话：0515-88287576 </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招标代理机构：江苏智汇锡建工程项目管理有限公司</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 系 人：王虹   联系电话：15851041231</w:t>
      </w:r>
    </w:p>
    <w:p>
      <w:pPr>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址：盐都区瞰都公馆10号楼10楼</w:t>
      </w:r>
    </w:p>
    <w:p>
      <w:pPr>
        <w:pStyle w:val="32"/>
        <w:rPr>
          <w:rFonts w:hint="default"/>
          <w:lang w:val="en-US" w:eastAsia="zh-CN"/>
        </w:rPr>
      </w:pPr>
    </w:p>
    <w:p>
      <w:pPr>
        <w:pStyle w:val="32"/>
        <w:rPr>
          <w:rFonts w:hint="default"/>
          <w:lang w:val="en-US" w:eastAsia="zh-CN"/>
        </w:rPr>
      </w:pPr>
    </w:p>
    <w:p>
      <w:pPr>
        <w:pStyle w:val="32"/>
        <w:rPr>
          <w:rFonts w:hint="default"/>
          <w:lang w:val="en-US" w:eastAsia="zh-CN"/>
        </w:rPr>
      </w:pPr>
    </w:p>
    <w:p>
      <w:pPr>
        <w:pStyle w:val="32"/>
        <w:rPr>
          <w:rFonts w:hint="default"/>
          <w:lang w:val="en-US" w:eastAsia="zh-CN"/>
        </w:rPr>
      </w:pPr>
    </w:p>
    <w:p>
      <w:pPr>
        <w:pStyle w:val="3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32"/>
        <w:rPr>
          <w:rFonts w:hint="default"/>
          <w:lang w:val="en-US" w:eastAsia="zh-CN"/>
        </w:rPr>
      </w:pPr>
    </w:p>
    <w:bookmarkEnd w:id="11"/>
    <w:bookmarkEnd w:id="12"/>
    <w:bookmarkEnd w:id="13"/>
    <w:bookmarkEnd w:id="14"/>
    <w:p>
      <w:pPr>
        <w:bidi w:val="0"/>
        <w:rPr>
          <w:rFonts w:hint="eastAsia"/>
        </w:rPr>
      </w:pPr>
    </w:p>
    <w:p>
      <w:pPr>
        <w:bidi w:val="0"/>
        <w:jc w:val="center"/>
        <w:rPr>
          <w:b/>
          <w:bCs/>
          <w:sz w:val="44"/>
          <w:szCs w:val="44"/>
        </w:rPr>
      </w:pPr>
      <w:r>
        <w:rPr>
          <w:rFonts w:hint="eastAsia"/>
          <w:b/>
          <w:bCs/>
          <w:sz w:val="44"/>
          <w:szCs w:val="44"/>
        </w:rPr>
        <w:t>第二章</w:t>
      </w:r>
      <w:bookmarkEnd w:id="1"/>
      <w:bookmarkEnd w:id="2"/>
      <w:bookmarkEnd w:id="3"/>
      <w:bookmarkEnd w:id="4"/>
      <w:bookmarkEnd w:id="5"/>
      <w:bookmarkEnd w:id="15"/>
      <w:bookmarkStart w:id="30" w:name="_Toc513029202"/>
      <w:bookmarkStart w:id="31" w:name="_Toc16938518"/>
      <w:bookmarkStart w:id="32" w:name="_Toc120614213"/>
      <w:bookmarkStart w:id="33" w:name="_Toc20823274"/>
      <w:r>
        <w:rPr>
          <w:rFonts w:hint="eastAsia"/>
          <w:b/>
          <w:bCs/>
          <w:sz w:val="44"/>
          <w:szCs w:val="44"/>
        </w:rPr>
        <w:t xml:space="preserve">  投标人须知</w:t>
      </w:r>
      <w:bookmarkEnd w:id="30"/>
      <w:bookmarkEnd w:id="31"/>
      <w:bookmarkEnd w:id="32"/>
      <w:bookmarkEnd w:id="33"/>
    </w:p>
    <w:p>
      <w:pPr>
        <w:pStyle w:val="2"/>
        <w:spacing w:beforeLines="50" w:afterLines="50" w:line="500" w:lineRule="exact"/>
        <w:ind w:firstLine="373" w:firstLineChars="155"/>
        <w:rPr>
          <w:rFonts w:ascii="宋体"/>
          <w:color w:val="000000" w:themeColor="text1"/>
          <w:sz w:val="24"/>
          <w:szCs w:val="24"/>
          <w14:textFill>
            <w14:solidFill>
              <w14:schemeClr w14:val="tx1"/>
            </w14:solidFill>
          </w14:textFill>
        </w:rPr>
      </w:pPr>
      <w:bookmarkStart w:id="34" w:name="_Toc513029203"/>
      <w:bookmarkStart w:id="35" w:name="_Toc16938519"/>
      <w:bookmarkStart w:id="36" w:name="_Toc120614214"/>
      <w:bookmarkStart w:id="37" w:name="_Toc20823275"/>
      <w:r>
        <w:rPr>
          <w:rFonts w:hint="eastAsia" w:ascii="宋体" w:hAnsi="宋体"/>
          <w:color w:val="000000" w:themeColor="text1"/>
          <w:sz w:val="24"/>
          <w:szCs w:val="24"/>
          <w14:textFill>
            <w14:solidFill>
              <w14:schemeClr w14:val="tx1"/>
            </w14:solidFill>
          </w14:textFill>
        </w:rPr>
        <w:t>一、总则</w:t>
      </w:r>
      <w:bookmarkEnd w:id="34"/>
      <w:bookmarkEnd w:id="35"/>
      <w:bookmarkEnd w:id="36"/>
      <w:bookmarkEnd w:id="37"/>
    </w:p>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38" w:name="_Toc458694821"/>
      <w:bookmarkStart w:id="39" w:name="_Toc20823276"/>
      <w:bookmarkStart w:id="40" w:name="_Toc16938520"/>
      <w:bookmarkStart w:id="41" w:name="_Toc513029204"/>
      <w:r>
        <w:rPr>
          <w:rFonts w:ascii="宋体" w:hAnsi="宋体" w:eastAsia="宋体"/>
          <w:color w:val="000000" w:themeColor="text1"/>
          <w:sz w:val="24"/>
          <w:szCs w:val="24"/>
          <w14:textFill>
            <w14:solidFill>
              <w14:schemeClr w14:val="tx1"/>
            </w14:solidFill>
          </w14:textFill>
        </w:rPr>
        <w:t>1</w:t>
      </w:r>
      <w:bookmarkEnd w:id="38"/>
      <w:r>
        <w:rPr>
          <w:rFonts w:hint="eastAsia" w:ascii="宋体" w:hAnsi="宋体" w:eastAsia="宋体"/>
          <w:color w:val="000000" w:themeColor="text1"/>
          <w:sz w:val="24"/>
          <w:szCs w:val="24"/>
          <w14:textFill>
            <w14:solidFill>
              <w14:schemeClr w14:val="tx1"/>
            </w14:solidFill>
          </w14:textFill>
        </w:rPr>
        <w:t>、招标方式</w:t>
      </w:r>
      <w:bookmarkEnd w:id="39"/>
      <w:bookmarkEnd w:id="40"/>
      <w:bookmarkEnd w:id="41"/>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1.1 </w:t>
      </w:r>
      <w:r>
        <w:rPr>
          <w:rFonts w:hint="eastAsia" w:ascii="宋体" w:hAnsi="宋体"/>
          <w:color w:val="000000" w:themeColor="text1"/>
          <w:sz w:val="24"/>
          <w:szCs w:val="24"/>
          <w14:textFill>
            <w14:solidFill>
              <w14:schemeClr w14:val="tx1"/>
            </w14:solidFill>
          </w14:textFill>
        </w:rPr>
        <w:t>本次招标采取公开招标方式，本招标文件仅适用于招标公告中所述项目。</w:t>
      </w:r>
    </w:p>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42" w:name="_Toc513029205"/>
      <w:bookmarkStart w:id="43" w:name="_Toc16938521"/>
      <w:bookmarkStart w:id="44" w:name="_Toc20823277"/>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、合格的投标人</w:t>
      </w:r>
      <w:bookmarkEnd w:id="42"/>
      <w:bookmarkEnd w:id="43"/>
      <w:bookmarkEnd w:id="44"/>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2.1</w:t>
      </w:r>
      <w:r>
        <w:rPr>
          <w:rFonts w:hint="eastAsia" w:ascii="宋体" w:hAnsi="宋体"/>
          <w:color w:val="000000" w:themeColor="text1"/>
          <w:sz w:val="24"/>
          <w:szCs w:val="24"/>
          <w14:textFill>
            <w14:solidFill>
              <w14:schemeClr w14:val="tx1"/>
            </w14:solidFill>
          </w14:textFill>
        </w:rPr>
        <w:t>满足招标公告中投标人的资格要求的规定。</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2.2 </w:t>
      </w:r>
      <w:r>
        <w:rPr>
          <w:rFonts w:hint="eastAsia" w:ascii="宋体" w:hAnsi="宋体"/>
          <w:color w:val="000000" w:themeColor="text1"/>
          <w:sz w:val="24"/>
          <w:szCs w:val="24"/>
          <w14:textFill>
            <w14:solidFill>
              <w14:schemeClr w14:val="tx1"/>
            </w14:solidFill>
          </w14:textFill>
        </w:rPr>
        <w:t>满足本文件实质性条款的规定。</w:t>
      </w:r>
    </w:p>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45" w:name="_Toc16938522"/>
      <w:bookmarkStart w:id="46" w:name="_Toc513029206"/>
      <w:bookmarkStart w:id="47" w:name="_Toc20823278"/>
      <w:r>
        <w:rPr>
          <w:rFonts w:ascii="宋体" w:hAnsi="宋体" w:eastAsia="宋体"/>
          <w:color w:val="000000" w:themeColor="text1"/>
          <w:sz w:val="24"/>
          <w:szCs w:val="24"/>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、适用法律</w:t>
      </w:r>
      <w:bookmarkEnd w:id="45"/>
      <w:bookmarkEnd w:id="46"/>
      <w:bookmarkEnd w:id="47"/>
    </w:p>
    <w:p>
      <w:pPr>
        <w:spacing w:line="500" w:lineRule="exact"/>
        <w:ind w:firstLine="420" w:firstLineChars="175"/>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3.1 </w:t>
      </w:r>
      <w:r>
        <w:rPr>
          <w:rFonts w:hint="eastAsia" w:ascii="宋体" w:hAnsi="宋体"/>
          <w:color w:val="000000" w:themeColor="text1"/>
          <w:sz w:val="24"/>
          <w:szCs w:val="24"/>
          <w14:textFill>
            <w14:solidFill>
              <w14:schemeClr w14:val="tx1"/>
            </w14:solidFill>
          </w14:textFill>
        </w:rPr>
        <w:t>本次招标及由此产生的合同受中华人民共和国有关的法律法规制约和保护。</w:t>
      </w:r>
    </w:p>
    <w:p>
      <w:pPr>
        <w:pStyle w:val="6"/>
        <w:spacing w:before="0" w:after="0" w:line="500" w:lineRule="exact"/>
        <w:ind w:firstLine="361" w:firstLineChars="150"/>
        <w:rPr>
          <w:rFonts w:hint="default" w:ascii="宋体" w:hAnsi="宋体" w:eastAsia="宋体"/>
          <w:color w:val="000000" w:themeColor="text1"/>
          <w:sz w:val="24"/>
          <w:szCs w:val="24"/>
          <w:lang w:val="en-US" w:eastAsia="zh-CN"/>
          <w14:textFill>
            <w14:solidFill>
              <w14:schemeClr w14:val="tx1"/>
            </w14:solidFill>
          </w14:textFill>
        </w:rPr>
      </w:pPr>
      <w:bookmarkStart w:id="48" w:name="_Toc462564067"/>
      <w:bookmarkStart w:id="49" w:name="_Toc16938523"/>
      <w:bookmarkStart w:id="50" w:name="_Toc20823279"/>
      <w:bookmarkStart w:id="51" w:name="_Toc513029207"/>
      <w:r>
        <w:rPr>
          <w:rFonts w:ascii="宋体" w:hAnsi="宋体" w:eastAsia="宋体"/>
          <w:color w:val="000000" w:themeColor="text1"/>
          <w:sz w:val="24"/>
          <w:szCs w:val="24"/>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、投标费用</w:t>
      </w:r>
      <w:bookmarkEnd w:id="48"/>
      <w:bookmarkEnd w:id="49"/>
      <w:bookmarkEnd w:id="50"/>
      <w:bookmarkEnd w:id="51"/>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4.1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投标人应自行承担所有与参加投标有关的费用，无论投标过程中的做法和结果如何，采购人在任何情况下均无义务和责任承担上述费用。</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、招</w:t>
      </w:r>
      <w:r>
        <w:rPr>
          <w:rFonts w:hint="eastAsia" w:ascii="宋体" w:hAnsi="宋体" w:eastAsia="宋体"/>
          <w:color w:val="000000" w:themeColor="text1"/>
          <w:sz w:val="24"/>
          <w:szCs w:val="24"/>
          <w14:textFill>
            <w14:solidFill>
              <w14:schemeClr w14:val="tx1"/>
            </w14:solidFill>
          </w14:textFill>
        </w:rPr>
        <w:t>标文件的约束力</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5.1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投标人一旦参加本项目采购活动，即被认为接受了本招标文件的规定和约束，并且视为自招标公告期限届满之日起知道或应当知道自身权益是否受到了损害。</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、招标文件的解释</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6.1 </w:t>
      </w:r>
      <w:r>
        <w:rPr>
          <w:rFonts w:hint="eastAsia" w:ascii="宋体" w:hAnsi="宋体"/>
          <w:bCs/>
          <w:color w:val="000000" w:themeColor="text1"/>
          <w:sz w:val="24"/>
          <w:szCs w:val="24"/>
          <w14:textFill>
            <w14:solidFill>
              <w14:schemeClr w14:val="tx1"/>
            </w14:solidFill>
          </w14:textFill>
        </w:rPr>
        <w:t>本招标文件由采购人负责解释。</w:t>
      </w:r>
    </w:p>
    <w:p>
      <w:pPr>
        <w:pStyle w:val="2"/>
        <w:spacing w:beforeLines="50" w:afterLines="50" w:line="500" w:lineRule="exact"/>
        <w:ind w:firstLine="241" w:firstLineChars="100"/>
        <w:rPr>
          <w:rFonts w:hint="eastAsia" w:ascii="宋体" w:hAnsi="宋体"/>
          <w:color w:val="000000" w:themeColor="text1"/>
          <w:sz w:val="24"/>
          <w:szCs w:val="24"/>
          <w14:textFill>
            <w14:solidFill>
              <w14:schemeClr w14:val="tx1"/>
            </w14:solidFill>
          </w14:textFill>
        </w:rPr>
      </w:pPr>
      <w:bookmarkStart w:id="52" w:name="_Toc513029209"/>
      <w:bookmarkStart w:id="53" w:name="_Toc16938525"/>
      <w:bookmarkStart w:id="54" w:name="_Toc20823281"/>
      <w:bookmarkStart w:id="55" w:name="_Toc120614215"/>
      <w:r>
        <w:rPr>
          <w:rFonts w:hint="eastAsia" w:ascii="宋体" w:hAnsi="宋体"/>
          <w:color w:val="000000" w:themeColor="text1"/>
          <w:sz w:val="24"/>
          <w:szCs w:val="24"/>
          <w14:textFill>
            <w14:solidFill>
              <w14:schemeClr w14:val="tx1"/>
            </w14:solidFill>
          </w14:textFill>
        </w:rPr>
        <w:t>二、招标文件</w:t>
      </w:r>
      <w:bookmarkEnd w:id="52"/>
      <w:bookmarkEnd w:id="53"/>
      <w:bookmarkEnd w:id="54"/>
      <w:bookmarkEnd w:id="55"/>
      <w:bookmarkStart w:id="56" w:name="_Toc20823282"/>
      <w:bookmarkStart w:id="57" w:name="_Toc16938526"/>
      <w:bookmarkStart w:id="58" w:name="_Toc513029210"/>
    </w:p>
    <w:p>
      <w:pPr>
        <w:pStyle w:val="2"/>
        <w:spacing w:beforeLines="50" w:afterLines="50" w:line="500" w:lineRule="exact"/>
        <w:ind w:firstLine="241" w:firstLineChars="1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r>
        <w:rPr>
          <w:rFonts w:hint="eastAsia" w:ascii="宋体" w:hAnsi="宋体" w:eastAsia="宋体"/>
          <w:color w:val="000000" w:themeColor="text1"/>
          <w:sz w:val="24"/>
          <w:szCs w:val="24"/>
          <w14:textFill>
            <w14:solidFill>
              <w14:schemeClr w14:val="tx1"/>
            </w14:solidFill>
          </w14:textFill>
        </w:rPr>
        <w:t>、招标文件构成</w:t>
      </w:r>
      <w:bookmarkEnd w:id="56"/>
      <w:bookmarkEnd w:id="57"/>
      <w:bookmarkEnd w:id="58"/>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7.1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招标</w:t>
      </w:r>
      <w:r>
        <w:rPr>
          <w:rFonts w:hint="eastAsia" w:ascii="宋体" w:hAnsi="宋体"/>
          <w:color w:val="000000" w:themeColor="text1"/>
          <w:sz w:val="24"/>
          <w:szCs w:val="24"/>
          <w:lang w:val="en-US" w:eastAsia="zh-CN"/>
          <w14:textFill>
            <w14:solidFill>
              <w14:schemeClr w14:val="tx1"/>
            </w14:solidFill>
          </w14:textFill>
        </w:rPr>
        <w:fldChar w:fldCharType="begin"/>
      </w:r>
      <w:r>
        <w:rPr>
          <w:rFonts w:hint="eastAsia" w:ascii="宋体" w:hAnsi="宋体"/>
          <w:color w:val="000000" w:themeColor="text1"/>
          <w:sz w:val="24"/>
          <w:szCs w:val="24"/>
          <w:lang w:val="en-US" w:eastAsia="zh-CN"/>
          <w14:textFill>
            <w14:solidFill>
              <w14:schemeClr w14:val="tx1"/>
            </w14:solidFill>
          </w14:textFill>
        </w:rPr>
        <w:instrText xml:space="preserve">  </w:instrText>
      </w:r>
      <w:r>
        <w:rPr>
          <w:rFonts w:hint="eastAsia" w:ascii="宋体" w:hAnsi="宋体"/>
          <w:color w:val="000000" w:themeColor="text1"/>
          <w:sz w:val="24"/>
          <w:szCs w:val="24"/>
          <w:lang w:val="en-US" w:eastAsia="zh-CN"/>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文件有以下部分组成：</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7.1.1</w:t>
      </w:r>
      <w:r>
        <w:rPr>
          <w:rFonts w:hint="eastAsia" w:ascii="宋体" w:hAnsi="宋体"/>
          <w:color w:val="000000" w:themeColor="text1"/>
          <w:sz w:val="24"/>
          <w:szCs w:val="24"/>
          <w14:textFill>
            <w14:solidFill>
              <w14:schemeClr w14:val="tx1"/>
            </w14:solidFill>
          </w14:textFill>
        </w:rPr>
        <w:t>招标公告</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7.1.2</w:t>
      </w:r>
      <w:r>
        <w:rPr>
          <w:rFonts w:hint="eastAsia" w:ascii="宋体" w:hAnsi="宋体"/>
          <w:color w:val="000000" w:themeColor="text1"/>
          <w:sz w:val="24"/>
          <w:szCs w:val="24"/>
          <w14:textFill>
            <w14:solidFill>
              <w14:schemeClr w14:val="tx1"/>
            </w14:solidFill>
          </w14:textFill>
        </w:rPr>
        <w:t>投标人须知</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7.1.3</w:t>
      </w:r>
      <w:r>
        <w:rPr>
          <w:rFonts w:hint="eastAsia" w:ascii="宋体" w:hAnsi="宋体"/>
          <w:color w:val="000000" w:themeColor="text1"/>
          <w:sz w:val="24"/>
          <w:szCs w:val="24"/>
          <w14:textFill>
            <w14:solidFill>
              <w14:schemeClr w14:val="tx1"/>
            </w14:solidFill>
          </w14:textFill>
        </w:rPr>
        <w:t>合同条款及格式</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7.1.4</w:t>
      </w:r>
      <w:r>
        <w:rPr>
          <w:rFonts w:hint="eastAsia" w:ascii="宋体" w:hAnsi="宋体"/>
          <w:color w:val="000000" w:themeColor="text1"/>
          <w:sz w:val="24"/>
          <w:szCs w:val="24"/>
          <w14:textFill>
            <w14:solidFill>
              <w14:schemeClr w14:val="tx1"/>
            </w14:solidFill>
          </w14:textFill>
        </w:rPr>
        <w:t>采购需求</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7.1.5</w:t>
      </w:r>
      <w:r>
        <w:rPr>
          <w:rFonts w:hint="eastAsia" w:ascii="宋体" w:hAnsi="宋体"/>
          <w:color w:val="000000" w:themeColor="text1"/>
          <w:sz w:val="24"/>
          <w:szCs w:val="24"/>
          <w14:textFill>
            <w14:solidFill>
              <w14:schemeClr w14:val="tx1"/>
            </w14:solidFill>
          </w14:textFill>
        </w:rPr>
        <w:t>评标方法与评标标准</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7.1.6</w:t>
      </w:r>
      <w:r>
        <w:rPr>
          <w:rFonts w:hint="eastAsia" w:ascii="宋体" w:hAnsi="宋体"/>
          <w:color w:val="000000" w:themeColor="text1"/>
          <w:sz w:val="24"/>
          <w:szCs w:val="24"/>
          <w14:textFill>
            <w14:solidFill>
              <w14:schemeClr w14:val="tx1"/>
            </w14:solidFill>
          </w14:textFill>
        </w:rPr>
        <w:t>投标文件格式</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7.2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应认真阅读招标文件中所有的事项、格式、条款和规范等要求。按招标文件要求和规定编制投标文件，并保证所提供的全部资料的真实性，以使其投标文件对招标文件作出明确响应，否则其风险由投标人自行承担。</w:t>
      </w:r>
    </w:p>
    <w:p>
      <w:pPr>
        <w:pStyle w:val="2"/>
        <w:spacing w:beforeLines="50" w:afterLines="50" w:line="500" w:lineRule="exact"/>
        <w:ind w:firstLine="361" w:firstLineChars="150"/>
        <w:rPr>
          <w:rFonts w:ascii="宋体"/>
          <w:color w:val="000000" w:themeColor="text1"/>
          <w:sz w:val="24"/>
          <w:szCs w:val="24"/>
          <w14:textFill>
            <w14:solidFill>
              <w14:schemeClr w14:val="tx1"/>
            </w14:solidFill>
          </w14:textFill>
        </w:rPr>
      </w:pPr>
      <w:bookmarkStart w:id="59" w:name="_Toc16938529"/>
      <w:bookmarkStart w:id="60" w:name="_Toc20823285"/>
      <w:bookmarkStart w:id="61" w:name="_Toc513029213"/>
      <w:bookmarkStart w:id="62" w:name="_Toc120614216"/>
      <w:bookmarkStart w:id="63" w:name="_Toc462564072"/>
      <w:r>
        <w:rPr>
          <w:rFonts w:hint="eastAsia" w:ascii="宋体" w:hAnsi="宋体"/>
          <w:color w:val="000000" w:themeColor="text1"/>
          <w:sz w:val="24"/>
          <w:szCs w:val="24"/>
          <w14:textFill>
            <w14:solidFill>
              <w14:schemeClr w14:val="tx1"/>
            </w14:solidFill>
          </w14:textFill>
        </w:rPr>
        <w:t>三、投标文件的编制</w:t>
      </w:r>
      <w:bookmarkEnd w:id="59"/>
      <w:bookmarkEnd w:id="60"/>
      <w:bookmarkEnd w:id="61"/>
      <w:bookmarkEnd w:id="62"/>
      <w:bookmarkEnd w:id="63"/>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64" w:name="_Toc16938530"/>
      <w:bookmarkStart w:id="65" w:name="_Toc462564073"/>
      <w:bookmarkStart w:id="66" w:name="_Toc20823286"/>
      <w:bookmarkStart w:id="67" w:name="_Toc513029214"/>
      <w:r>
        <w:rPr>
          <w:rFonts w:hint="eastAsia" w:ascii="宋体" w:hAnsi="宋体" w:eastAsia="宋体"/>
          <w:color w:val="000000" w:themeColor="text1"/>
          <w:sz w:val="24"/>
          <w:szCs w:val="24"/>
          <w:lang w:val="en-US" w:eastAsia="zh-CN"/>
          <w14:textFill>
            <w14:solidFill>
              <w14:schemeClr w14:val="tx1"/>
            </w14:solidFill>
          </w14:textFill>
        </w:rPr>
        <w:t>8</w:t>
      </w:r>
      <w:r>
        <w:rPr>
          <w:rFonts w:hint="eastAsia" w:ascii="宋体" w:hAnsi="宋体" w:eastAsia="宋体"/>
          <w:color w:val="000000" w:themeColor="text1"/>
          <w:sz w:val="24"/>
          <w:szCs w:val="24"/>
          <w14:textFill>
            <w14:solidFill>
              <w14:schemeClr w14:val="tx1"/>
            </w14:solidFill>
          </w14:textFill>
        </w:rPr>
        <w:t>、投标文件的语言及度量衡单位</w:t>
      </w:r>
      <w:bookmarkEnd w:id="64"/>
      <w:bookmarkEnd w:id="65"/>
      <w:bookmarkEnd w:id="66"/>
      <w:bookmarkEnd w:id="67"/>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8</w:t>
      </w:r>
      <w:r>
        <w:rPr>
          <w:rFonts w:ascii="宋体" w:hAnsi="宋体"/>
          <w:bCs/>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投标人提交的投标文件以及投标人与采购人就有关投标的所有来往通知、函件和文件均应使用</w:t>
      </w:r>
      <w:r>
        <w:rPr>
          <w:rFonts w:hint="eastAsia" w:ascii="宋体" w:hAnsi="宋体"/>
          <w:b/>
          <w:bCs/>
          <w:color w:val="000000" w:themeColor="text1"/>
          <w:sz w:val="24"/>
          <w:szCs w:val="24"/>
          <w14:textFill>
            <w14:solidFill>
              <w14:schemeClr w14:val="tx1"/>
            </w14:solidFill>
          </w14:textFill>
        </w:rPr>
        <w:t>简体中文</w:t>
      </w:r>
      <w:r>
        <w:rPr>
          <w:rFonts w:hint="eastAsia" w:ascii="宋体" w:hAnsi="宋体"/>
          <w:color w:val="000000" w:themeColor="text1"/>
          <w:sz w:val="24"/>
          <w:szCs w:val="24"/>
          <w14:textFill>
            <w14:solidFill>
              <w14:schemeClr w14:val="tx1"/>
            </w14:solidFill>
          </w14:textFill>
        </w:rPr>
        <w:t>。</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8</w:t>
      </w:r>
      <w:r>
        <w:rPr>
          <w:rFonts w:ascii="宋体" w:hAnsi="宋体"/>
          <w:bCs/>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除技术性能另有规定外，投标文件所使用的度量衡单位，均须采用国家法定计量单位。</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68" w:name="_Toc20823287"/>
      <w:bookmarkStart w:id="69" w:name="_Toc513029215"/>
      <w:bookmarkStart w:id="70" w:name="_Toc462564074"/>
      <w:bookmarkStart w:id="71" w:name="_Toc16938531"/>
      <w:r>
        <w:rPr>
          <w:rFonts w:hint="eastAsia" w:ascii="宋体" w:hAnsi="宋体" w:eastAsia="宋体"/>
          <w:color w:val="000000" w:themeColor="text1"/>
          <w:sz w:val="24"/>
          <w:szCs w:val="24"/>
          <w:lang w:val="en-US" w:eastAsia="zh-CN"/>
          <w14:textFill>
            <w14:solidFill>
              <w14:schemeClr w14:val="tx1"/>
            </w14:solidFill>
          </w14:textFill>
        </w:rPr>
        <w:t>9</w:t>
      </w:r>
      <w:r>
        <w:rPr>
          <w:rFonts w:hint="eastAsia" w:ascii="宋体" w:hAnsi="宋体" w:eastAsia="宋体"/>
          <w:color w:val="000000" w:themeColor="text1"/>
          <w:sz w:val="24"/>
          <w:szCs w:val="24"/>
          <w14:textFill>
            <w14:solidFill>
              <w14:schemeClr w14:val="tx1"/>
            </w14:solidFill>
          </w14:textFill>
        </w:rPr>
        <w:t>、投标文件构成</w:t>
      </w:r>
      <w:bookmarkEnd w:id="68"/>
      <w:bookmarkEnd w:id="69"/>
      <w:bookmarkEnd w:id="70"/>
      <w:bookmarkEnd w:id="71"/>
    </w:p>
    <w:p>
      <w:pPr>
        <w:spacing w:line="500" w:lineRule="exact"/>
        <w:ind w:firstLine="480" w:firstLineChars="200"/>
        <w:rPr>
          <w:rFonts w:ascii="宋体"/>
          <w:sz w:val="24"/>
          <w:szCs w:val="24"/>
        </w:rPr>
      </w:pPr>
      <w:r>
        <w:rPr>
          <w:rFonts w:hint="eastAsia" w:ascii="宋体" w:hAnsi="宋体"/>
          <w:bCs/>
          <w:sz w:val="24"/>
          <w:szCs w:val="24"/>
          <w:highlight w:val="yellow"/>
          <w:lang w:val="en-US" w:eastAsia="zh-CN"/>
        </w:rPr>
        <w:t>9</w:t>
      </w:r>
      <w:r>
        <w:rPr>
          <w:rFonts w:ascii="宋体" w:hAnsi="宋体"/>
          <w:bCs/>
          <w:sz w:val="24"/>
          <w:szCs w:val="24"/>
          <w:highlight w:val="yellow"/>
        </w:rPr>
        <w:t>.1</w:t>
      </w:r>
      <w:r>
        <w:rPr>
          <w:rFonts w:ascii="宋体" w:hAnsi="宋体"/>
          <w:sz w:val="24"/>
          <w:szCs w:val="24"/>
          <w:highlight w:val="yellow"/>
        </w:rPr>
        <w:t xml:space="preserve"> </w:t>
      </w:r>
      <w:r>
        <w:rPr>
          <w:rFonts w:hint="eastAsia" w:ascii="宋体" w:hAnsi="宋体"/>
          <w:sz w:val="24"/>
          <w:szCs w:val="24"/>
          <w:highlight w:val="yellow"/>
        </w:rPr>
        <w:t>投标人编写的投标文件应包括资格、资格信誉等证明文件要求、报价清单、投标函、开标一览表等部分；</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9</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投标人应将投标文件按顺序装订成册，并编制投标文件资料目录。</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72" w:name="_Toc49090509"/>
      <w:bookmarkStart w:id="73" w:name="_Toc513029219"/>
      <w:bookmarkStart w:id="74" w:name="_Toc14577357"/>
      <w:bookmarkStart w:id="75" w:name="_Toc14577354"/>
      <w:bookmarkStart w:id="76" w:name="_Toc49090507"/>
      <w:bookmarkStart w:id="77" w:name="_Toc513029216"/>
      <w:r>
        <w:rPr>
          <w:rFonts w:hint="eastAsia" w:ascii="宋体" w:hAnsi="宋体" w:eastAsia="宋体"/>
          <w:color w:val="000000" w:themeColor="text1"/>
          <w:sz w:val="24"/>
          <w:szCs w:val="24"/>
          <w:lang w:val="en-US" w:eastAsia="zh-CN"/>
          <w14:textFill>
            <w14:solidFill>
              <w14:schemeClr w14:val="tx1"/>
            </w14:solidFill>
          </w14:textFill>
        </w:rPr>
        <w:t>10</w:t>
      </w:r>
      <w:r>
        <w:rPr>
          <w:rFonts w:hint="eastAsia" w:ascii="宋体" w:hAnsi="宋体" w:eastAsia="宋体"/>
          <w:color w:val="000000" w:themeColor="text1"/>
          <w:sz w:val="24"/>
          <w:szCs w:val="24"/>
          <w14:textFill>
            <w14:solidFill>
              <w14:schemeClr w14:val="tx1"/>
            </w14:solidFill>
          </w14:textFill>
        </w:rPr>
        <w:t>、证明投标人资格及符合招标文件规定的文件</w:t>
      </w:r>
      <w:bookmarkEnd w:id="72"/>
      <w:bookmarkEnd w:id="73"/>
      <w:bookmarkEnd w:id="74"/>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投标人应按要求提交资格证明文件及符合招标文件规定的文件。</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10</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投标人应提交证明其有资格参加投标和中标后有能力独立履行合同的文件。</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投标人除必须具有履行合同所需提供的货物以及服务的能力外，还必须具备相应的财务、技术方面的能力。</w:t>
      </w:r>
    </w:p>
    <w:p>
      <w:pPr>
        <w:spacing w:line="500" w:lineRule="exact"/>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投标人应提交根据合同要求提供的证明产品质量合格以及符合招标文件规定的证明文件。</w:t>
      </w:r>
    </w:p>
    <w:p>
      <w:pPr>
        <w:spacing w:line="500" w:lineRule="exact"/>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1</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证明投标人所提供货物与招标文件的要求相一致的文件可以是手册、图纸、文字资料和数据</w:t>
      </w:r>
      <w:r>
        <w:rPr>
          <w:rFonts w:hint="eastAsia" w:ascii="宋体" w:hAnsi="宋体"/>
          <w:bCs/>
          <w:color w:val="000000" w:themeColor="text1"/>
          <w:sz w:val="24"/>
          <w:szCs w:val="24"/>
          <w14:textFill>
            <w14:solidFill>
              <w14:schemeClr w14:val="tx1"/>
            </w14:solidFill>
          </w14:textFill>
        </w:rPr>
        <w:t>。</w:t>
      </w:r>
    </w:p>
    <w:bookmarkEnd w:id="75"/>
    <w:bookmarkEnd w:id="76"/>
    <w:bookmarkEnd w:id="77"/>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78" w:name="_Toc14577355"/>
      <w:bookmarkStart w:id="79" w:name="_Toc49090508"/>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w:t>
      </w:r>
      <w:bookmarkEnd w:id="78"/>
      <w:r>
        <w:rPr>
          <w:rFonts w:hint="eastAsia" w:ascii="宋体" w:hAnsi="宋体" w:eastAsia="宋体"/>
          <w:color w:val="000000" w:themeColor="text1"/>
          <w:sz w:val="24"/>
          <w:szCs w:val="24"/>
          <w14:textFill>
            <w14:solidFill>
              <w14:schemeClr w14:val="tx1"/>
            </w14:solidFill>
          </w14:textFill>
        </w:rPr>
        <w:t>报价清单</w:t>
      </w:r>
      <w:bookmarkEnd w:id="79"/>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1</w:t>
      </w:r>
      <w:r>
        <w:rPr>
          <w:rFonts w:ascii="宋体" w:hAnsi="宋体"/>
          <w:bCs/>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投标人应按照招标文件规定格式填报报价清单</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每项服务等只允许有一个报价，任何有选择的报价将不予接受。</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1</w:t>
      </w:r>
      <w:r>
        <w:rPr>
          <w:rFonts w:ascii="宋体" w:hAnsi="宋体"/>
          <w:bCs/>
          <w:color w:val="000000" w:themeColor="text1"/>
          <w:sz w:val="24"/>
          <w:szCs w:val="24"/>
          <w14:textFill>
            <w14:solidFill>
              <w14:schemeClr w14:val="tx1"/>
            </w14:solidFill>
          </w14:textFill>
        </w:rPr>
        <w:t>.2</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标的物</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采购人需求的服务等</w:t>
      </w:r>
      <w:r>
        <w:rPr>
          <w:rFonts w:hint="eastAsia" w:ascii="宋体" w:hAnsi="宋体"/>
          <w:color w:val="000000" w:themeColor="text1"/>
          <w:sz w:val="24"/>
          <w:szCs w:val="24"/>
          <w14:textFill>
            <w14:solidFill>
              <w14:schemeClr w14:val="tx1"/>
            </w14:solidFill>
          </w14:textFill>
        </w:rPr>
        <w:t>。</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有关费用处理</w:t>
      </w:r>
    </w:p>
    <w:p>
      <w:pPr>
        <w:spacing w:line="500" w:lineRule="exact"/>
        <w:ind w:firstLine="480" w:firstLineChars="200"/>
        <w:rPr>
          <w:rFonts w:hint="eastAsia" w:ascii="宋体" w:hAnsi="宋体"/>
          <w:sz w:val="24"/>
          <w:szCs w:val="24"/>
        </w:rPr>
      </w:pPr>
      <w:r>
        <w:rPr>
          <w:rFonts w:hint="eastAsia" w:ascii="宋体" w:hAnsi="宋体"/>
          <w:color w:val="auto"/>
          <w:sz w:val="24"/>
          <w:lang w:val="en-US" w:eastAsia="zh-CN"/>
        </w:rPr>
        <w:t>11.3</w:t>
      </w:r>
      <w:r>
        <w:rPr>
          <w:rFonts w:hint="eastAsia" w:ascii="宋体" w:hAnsi="宋体"/>
          <w:sz w:val="24"/>
          <w:szCs w:val="24"/>
        </w:rPr>
        <w:t>报价采用总承包方式，</w:t>
      </w:r>
      <w:r>
        <w:rPr>
          <w:rFonts w:hint="eastAsia" w:ascii="宋体" w:hAnsi="宋体"/>
          <w:sz w:val="24"/>
          <w:szCs w:val="24"/>
          <w:lang w:val="en-US" w:eastAsia="zh-CN"/>
        </w:rPr>
        <w:t>投标报价包括为完成本项目</w:t>
      </w:r>
      <w:r>
        <w:rPr>
          <w:rFonts w:hint="eastAsia"/>
          <w:sz w:val="24"/>
        </w:rPr>
        <w:t>的</w:t>
      </w:r>
      <w:r>
        <w:rPr>
          <w:rFonts w:hint="eastAsia"/>
          <w:sz w:val="24"/>
          <w:lang w:val="en-US" w:eastAsia="zh-CN"/>
        </w:rPr>
        <w:t>材料费、运输费</w:t>
      </w:r>
      <w:r>
        <w:rPr>
          <w:rFonts w:hint="eastAsia"/>
          <w:sz w:val="24"/>
        </w:rPr>
        <w:t>、</w:t>
      </w:r>
      <w:r>
        <w:rPr>
          <w:rFonts w:hint="eastAsia"/>
          <w:sz w:val="24"/>
          <w:lang w:val="en-US" w:eastAsia="zh-CN"/>
        </w:rPr>
        <w:t>人工费、</w:t>
      </w:r>
      <w:r>
        <w:rPr>
          <w:rFonts w:hint="eastAsia"/>
          <w:sz w:val="24"/>
        </w:rPr>
        <w:t>利润、税金、措施费、</w:t>
      </w:r>
      <w:r>
        <w:rPr>
          <w:rFonts w:hint="eastAsia"/>
          <w:sz w:val="24"/>
          <w:lang w:val="en-US" w:eastAsia="zh-CN"/>
        </w:rPr>
        <w:t>管理费、培训费、</w:t>
      </w:r>
      <w:r>
        <w:rPr>
          <w:rFonts w:hint="eastAsia"/>
          <w:sz w:val="24"/>
        </w:rPr>
        <w:t>大型机械进出场费、风险费、政策性文件规定</w:t>
      </w:r>
      <w:r>
        <w:rPr>
          <w:rFonts w:hint="eastAsia"/>
          <w:sz w:val="24"/>
          <w:lang w:eastAsia="zh-CN"/>
        </w:rPr>
        <w:t>的</w:t>
      </w:r>
      <w:r>
        <w:rPr>
          <w:rFonts w:hint="eastAsia"/>
          <w:sz w:val="24"/>
        </w:rPr>
        <w:t>费用等所有费用</w:t>
      </w:r>
      <w:r>
        <w:rPr>
          <w:rFonts w:hint="eastAsia"/>
          <w:sz w:val="24"/>
          <w:lang w:eastAsia="zh-CN"/>
        </w:rPr>
        <w:t>。</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其它费用处理</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招标文件未列明，而投标人认为必需的费用也需列入报价。</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投标货币</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投标文件中的货物单价和总价无特殊规定的采用人民币报价，以元为单位标注。</w:t>
      </w:r>
      <w:r>
        <w:rPr>
          <w:rFonts w:hint="eastAsia" w:ascii="宋体" w:hAnsi="宋体"/>
          <w:color w:val="000000" w:themeColor="text1"/>
          <w:sz w:val="24"/>
          <w:szCs w:val="24"/>
          <w14:textFill>
            <w14:solidFill>
              <w14:schemeClr w14:val="tx1"/>
            </w14:solidFill>
          </w14:textFill>
        </w:rPr>
        <w:t>招标文件中另有规定的按规定执行。</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报价清单上的价格应按下列方式分开填写</w:t>
      </w:r>
      <w:r>
        <w:rPr>
          <w:rFonts w:hint="eastAsia" w:ascii="宋体" w:hAnsi="宋体"/>
          <w:color w:val="000000" w:themeColor="text1"/>
          <w:sz w:val="24"/>
          <w:szCs w:val="24"/>
          <w14:textFill>
            <w14:solidFill>
              <w14:schemeClr w14:val="tx1"/>
            </w14:solidFill>
          </w14:textFill>
        </w:rPr>
        <w:t>：</w:t>
      </w:r>
    </w:p>
    <w:p>
      <w:pPr>
        <w:spacing w:line="500" w:lineRule="exact"/>
        <w:ind w:firstLine="480" w:firstLineChars="200"/>
        <w:rPr>
          <w:rFonts w:hint="eastAsia" w:ascii="宋体" w:eastAsia="宋体"/>
          <w:bCs/>
          <w:color w:val="000000" w:themeColor="text1"/>
          <w:sz w:val="24"/>
          <w:szCs w:val="24"/>
          <w:lang w:eastAsia="zh-CN"/>
          <w14:textFill>
            <w14:solidFill>
              <w14:schemeClr w14:val="tx1"/>
            </w14:solidFill>
          </w14:textFill>
        </w:rPr>
      </w:pPr>
      <w:r>
        <w:rPr>
          <w:rFonts w:hint="eastAsia" w:ascii="宋体" w:hAnsi="宋体"/>
          <w:color w:val="auto"/>
          <w:sz w:val="24"/>
          <w:lang w:val="en-US" w:eastAsia="zh-CN"/>
        </w:rPr>
        <w:t>11.6.1项目总价：</w:t>
      </w:r>
      <w:r>
        <w:rPr>
          <w:rFonts w:hint="eastAsia" w:ascii="宋体" w:hAnsi="宋体"/>
          <w:sz w:val="24"/>
          <w:szCs w:val="24"/>
        </w:rPr>
        <w:t>报价采用总承包方式，</w:t>
      </w:r>
      <w:r>
        <w:rPr>
          <w:rFonts w:hint="eastAsia" w:ascii="宋体" w:hAnsi="宋体"/>
          <w:sz w:val="24"/>
          <w:szCs w:val="24"/>
          <w:lang w:val="en-US" w:eastAsia="zh-CN"/>
        </w:rPr>
        <w:t>投标报价包括为完成本项目</w:t>
      </w:r>
      <w:r>
        <w:rPr>
          <w:rFonts w:hint="eastAsia"/>
          <w:sz w:val="24"/>
        </w:rPr>
        <w:t>的</w:t>
      </w:r>
      <w:r>
        <w:rPr>
          <w:rFonts w:hint="eastAsia"/>
          <w:sz w:val="24"/>
          <w:lang w:val="en-US" w:eastAsia="zh-CN"/>
        </w:rPr>
        <w:t>材料费、运输费</w:t>
      </w:r>
      <w:r>
        <w:rPr>
          <w:rFonts w:hint="eastAsia"/>
          <w:sz w:val="24"/>
        </w:rPr>
        <w:t>、</w:t>
      </w:r>
      <w:r>
        <w:rPr>
          <w:rFonts w:hint="eastAsia"/>
          <w:sz w:val="24"/>
          <w:lang w:val="en-US" w:eastAsia="zh-CN"/>
        </w:rPr>
        <w:t>人工费、</w:t>
      </w:r>
      <w:r>
        <w:rPr>
          <w:rFonts w:hint="eastAsia"/>
          <w:sz w:val="24"/>
        </w:rPr>
        <w:t>利润、税金、措施费、</w:t>
      </w:r>
      <w:r>
        <w:rPr>
          <w:rFonts w:hint="eastAsia"/>
          <w:sz w:val="24"/>
          <w:lang w:val="en-US" w:eastAsia="zh-CN"/>
        </w:rPr>
        <w:t>管理费、培训费、</w:t>
      </w:r>
      <w:r>
        <w:rPr>
          <w:rFonts w:hint="eastAsia"/>
          <w:sz w:val="24"/>
        </w:rPr>
        <w:t>大型机械进出场费、风险费、政策性文件规定</w:t>
      </w:r>
      <w:r>
        <w:rPr>
          <w:rFonts w:hint="eastAsia"/>
          <w:sz w:val="24"/>
          <w:lang w:eastAsia="zh-CN"/>
        </w:rPr>
        <w:t>的</w:t>
      </w:r>
      <w:r>
        <w:rPr>
          <w:rFonts w:hint="eastAsia"/>
          <w:sz w:val="24"/>
        </w:rPr>
        <w:t>费用等所有费用</w:t>
      </w:r>
      <w:r>
        <w:rPr>
          <w:rFonts w:hint="eastAsia"/>
          <w:sz w:val="24"/>
          <w:lang w:eastAsia="zh-CN"/>
        </w:rPr>
        <w:t>。</w:t>
      </w:r>
    </w:p>
    <w:p>
      <w:pPr>
        <w:spacing w:line="500" w:lineRule="exact"/>
        <w:ind w:firstLine="482" w:firstLineChars="2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、技术参数响应及偏离表、商务条款响应及偏离表</w:t>
      </w:r>
    </w:p>
    <w:p>
      <w:pPr>
        <w:autoSpaceDE w:val="0"/>
        <w:autoSpaceDN w:val="0"/>
        <w:adjustRightInd w:val="0"/>
        <w:spacing w:line="500" w:lineRule="exact"/>
        <w:ind w:firstLine="480"/>
        <w:rPr>
          <w:rFonts w:ascii="宋体"/>
          <w:color w:val="000000" w:themeColor="text1"/>
          <w:sz w:val="24"/>
          <w:szCs w:val="24"/>
          <w14:textFill>
            <w14:solidFill>
              <w14:schemeClr w14:val="tx1"/>
            </w14:solidFill>
          </w14:textFill>
        </w:rPr>
      </w:pPr>
      <w:r>
        <w:rPr>
          <w:rFonts w:ascii="宋体" w:hAnsi="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2</w:t>
      </w:r>
      <w:r>
        <w:rPr>
          <w:rFonts w:ascii="宋体" w:hAnsi="宋体" w:cs="宋体"/>
          <w:bCs/>
          <w:color w:val="000000" w:themeColor="text1"/>
          <w:sz w:val="24"/>
          <w:szCs w:val="24"/>
          <w:lang w:val="zh-CN"/>
          <w14:textFill>
            <w14:solidFill>
              <w14:schemeClr w14:val="tx1"/>
            </w14:solidFill>
          </w14:textFill>
        </w:rPr>
        <w:t xml:space="preserve">.1 </w:t>
      </w:r>
      <w:r>
        <w:rPr>
          <w:rFonts w:hint="eastAsia" w:ascii="宋体" w:hAnsi="宋体"/>
          <w:color w:val="000000" w:themeColor="text1"/>
          <w:sz w:val="24"/>
          <w:szCs w:val="24"/>
          <w14:textFill>
            <w14:solidFill>
              <w14:schemeClr w14:val="tx1"/>
            </w14:solidFill>
          </w14:textFill>
        </w:rPr>
        <w:t>技术参数响应及偏离表（如有）</w:t>
      </w:r>
    </w:p>
    <w:p>
      <w:pPr>
        <w:autoSpaceDE w:val="0"/>
        <w:autoSpaceDN w:val="0"/>
        <w:adjustRightInd w:val="0"/>
        <w:spacing w:line="500" w:lineRule="exact"/>
        <w:ind w:firstLine="480"/>
        <w:rPr>
          <w:rFonts w:ascii="宋体" w:cs="宋体"/>
          <w:bCs/>
          <w:color w:val="000000" w:themeColor="text1"/>
          <w:sz w:val="24"/>
          <w:szCs w:val="24"/>
          <w:lang w:val="zh-CN"/>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lang w:val="zh-CN"/>
          <w14:textFill>
            <w14:solidFill>
              <w14:schemeClr w14:val="tx1"/>
            </w14:solidFill>
          </w14:textFill>
        </w:rPr>
        <w:t>对招标文件中的技术参数要求有偏离的，说明原因。</w:t>
      </w:r>
    </w:p>
    <w:p>
      <w:pPr>
        <w:autoSpaceDE w:val="0"/>
        <w:autoSpaceDN w:val="0"/>
        <w:adjustRightInd w:val="0"/>
        <w:spacing w:line="500" w:lineRule="exact"/>
        <w:ind w:firstLine="480"/>
        <w:rPr>
          <w:rFonts w:ascii="宋体" w:cs="宋体"/>
          <w:bCs/>
          <w:color w:val="000000" w:themeColor="text1"/>
          <w:sz w:val="24"/>
          <w:szCs w:val="24"/>
          <w:lang w:val="zh-CN"/>
          <w14:textFill>
            <w14:solidFill>
              <w14:schemeClr w14:val="tx1"/>
            </w14:solidFill>
          </w14:textFill>
        </w:rPr>
      </w:pPr>
      <w:r>
        <w:rPr>
          <w:rFonts w:ascii="宋体" w:hAnsi="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2</w:t>
      </w:r>
      <w:r>
        <w:rPr>
          <w:rFonts w:ascii="宋体" w:hAnsi="宋体" w:cs="宋体"/>
          <w:bCs/>
          <w:color w:val="000000" w:themeColor="text1"/>
          <w:sz w:val="24"/>
          <w:szCs w:val="24"/>
          <w:lang w:val="zh-CN"/>
          <w14:textFill>
            <w14:solidFill>
              <w14:schemeClr w14:val="tx1"/>
            </w14:solidFill>
          </w14:textFill>
        </w:rPr>
        <w:t xml:space="preserve">.2 </w:t>
      </w:r>
      <w:r>
        <w:rPr>
          <w:rFonts w:hint="eastAsia" w:ascii="宋体" w:hAnsi="宋体"/>
          <w:color w:val="000000" w:themeColor="text1"/>
          <w:sz w:val="24"/>
          <w:szCs w:val="24"/>
          <w14:textFill>
            <w14:solidFill>
              <w14:schemeClr w14:val="tx1"/>
            </w14:solidFill>
          </w14:textFill>
        </w:rPr>
        <w:t>商务条款响应及偏离表</w:t>
      </w:r>
    </w:p>
    <w:p>
      <w:pPr>
        <w:autoSpaceDE w:val="0"/>
        <w:autoSpaceDN w:val="0"/>
        <w:adjustRightInd w:val="0"/>
        <w:spacing w:line="500" w:lineRule="exact"/>
        <w:ind w:firstLine="480"/>
        <w:rPr>
          <w:rFonts w:ascii="宋体" w:cs="宋体"/>
          <w:color w:val="000000" w:themeColor="text1"/>
          <w:sz w:val="24"/>
          <w:szCs w:val="24"/>
          <w:lang w:val="zh-CN"/>
          <w14:textFill>
            <w14:solidFill>
              <w14:schemeClr w14:val="tx1"/>
            </w14:solidFill>
          </w14:textFill>
        </w:rPr>
      </w:pPr>
      <w:r>
        <w:rPr>
          <w:rFonts w:ascii="宋体" w:hAnsi="宋体" w:cs="宋体"/>
          <w:bCs/>
          <w:color w:val="000000" w:themeColor="text1"/>
          <w:sz w:val="24"/>
          <w:szCs w:val="24"/>
          <w:lang w:val="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2</w:t>
      </w:r>
      <w:r>
        <w:rPr>
          <w:rFonts w:ascii="宋体" w:hAnsi="宋体" w:cs="宋体"/>
          <w:bCs/>
          <w:color w:val="000000" w:themeColor="text1"/>
          <w:sz w:val="24"/>
          <w:szCs w:val="24"/>
          <w:lang w:val="zh-CN"/>
          <w14:textFill>
            <w14:solidFill>
              <w14:schemeClr w14:val="tx1"/>
            </w14:solidFill>
          </w14:textFill>
        </w:rPr>
        <w:t>.2.1</w:t>
      </w:r>
      <w:r>
        <w:rPr>
          <w:rFonts w:hint="eastAsia" w:ascii="宋体" w:hAnsi="宋体" w:cs="宋体"/>
          <w:color w:val="000000" w:themeColor="text1"/>
          <w:sz w:val="24"/>
          <w:szCs w:val="24"/>
          <w:lang w:val="zh-CN"/>
          <w14:textFill>
            <w14:solidFill>
              <w14:schemeClr w14:val="tx1"/>
            </w14:solidFill>
          </w14:textFill>
        </w:rPr>
        <w:t>对招标文件中的商务条款要求逐项作出响应或偏离，并说明原因。</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1</w:t>
      </w:r>
      <w:r>
        <w:rPr>
          <w:rFonts w:hint="eastAsia" w:ascii="宋体" w:hAnsi="宋体"/>
          <w:b/>
          <w:color w:val="000000" w:themeColor="text1"/>
          <w:sz w:val="24"/>
          <w:szCs w:val="24"/>
          <w:lang w:val="en-US" w:eastAsia="zh-CN"/>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、技术方案、服</w:t>
      </w:r>
      <w:r>
        <w:rPr>
          <w:rFonts w:hint="eastAsia" w:ascii="宋体" w:hAnsi="宋体"/>
          <w:b/>
          <w:bCs/>
          <w:color w:val="000000" w:themeColor="text1"/>
          <w:sz w:val="24"/>
          <w:szCs w:val="24"/>
          <w14:textFill>
            <w14:solidFill>
              <w14:schemeClr w14:val="tx1"/>
            </w14:solidFill>
          </w14:textFill>
        </w:rPr>
        <w:t>务承诺及培训承诺等</w:t>
      </w:r>
    </w:p>
    <w:p>
      <w:pPr>
        <w:tabs>
          <w:tab w:val="left" w:pos="1035"/>
        </w:tabs>
        <w:autoSpaceDE w:val="0"/>
        <w:autoSpaceDN w:val="0"/>
        <w:adjustRightInd w:val="0"/>
        <w:spacing w:line="500" w:lineRule="exact"/>
        <w:ind w:firstLine="480" w:firstLineChars="200"/>
        <w:rPr>
          <w:rFonts w:ascii="宋体" w:cs="宋体"/>
          <w:color w:val="000000" w:themeColor="text1"/>
          <w:sz w:val="24"/>
          <w:szCs w:val="24"/>
          <w:lang w:val="zh-CN"/>
          <w14:textFill>
            <w14:solidFill>
              <w14:schemeClr w14:val="tx1"/>
            </w14:solidFill>
          </w14:textFill>
        </w:rPr>
      </w:pPr>
      <w:r>
        <w:rPr>
          <w:rFonts w:ascii="宋体" w:hAnsi="宋体" w:cs="宋体"/>
          <w:color w:val="000000" w:themeColor="text1"/>
          <w:sz w:val="24"/>
          <w:szCs w:val="24"/>
          <w:lang w:val="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ascii="宋体" w:hAnsi="宋体" w:cs="宋体"/>
          <w:color w:val="000000" w:themeColor="text1"/>
          <w:sz w:val="24"/>
          <w:szCs w:val="24"/>
          <w:lang w:val="zh-CN"/>
          <w14:textFill>
            <w14:solidFill>
              <w14:schemeClr w14:val="tx1"/>
            </w14:solidFill>
          </w14:textFill>
        </w:rPr>
        <w:t>.1</w:t>
      </w:r>
      <w:r>
        <w:rPr>
          <w:rFonts w:hint="eastAsia" w:ascii="宋体" w:hAnsi="宋体" w:cs="宋体"/>
          <w:color w:val="000000" w:themeColor="text1"/>
          <w:sz w:val="24"/>
          <w:szCs w:val="24"/>
          <w:lang w:val="zh-CN"/>
          <w14:textFill>
            <w14:solidFill>
              <w14:schemeClr w14:val="tx1"/>
            </w14:solidFill>
          </w14:textFill>
        </w:rPr>
        <w:t>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ascii="宋体" w:cs="宋体"/>
          <w:color w:val="000000" w:themeColor="text1"/>
          <w:sz w:val="24"/>
          <w:szCs w:val="24"/>
          <w:lang w:val="zh-CN"/>
          <w14:textFill>
            <w14:solidFill>
              <w14:schemeClr w14:val="tx1"/>
            </w14:solidFill>
          </w14:textFill>
        </w:rPr>
      </w:pPr>
      <w:r>
        <w:rPr>
          <w:rFonts w:ascii="宋体" w:hAnsi="宋体" w:cs="宋体"/>
          <w:color w:val="000000" w:themeColor="text1"/>
          <w:sz w:val="24"/>
          <w:szCs w:val="24"/>
          <w:lang w:val="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ascii="宋体" w:hAnsi="宋体" w:cs="宋体"/>
          <w:color w:val="000000" w:themeColor="text1"/>
          <w:sz w:val="24"/>
          <w:szCs w:val="24"/>
          <w:lang w:val="zh-CN"/>
          <w14:textFill>
            <w14:solidFill>
              <w14:schemeClr w14:val="tx1"/>
            </w14:solidFill>
          </w14:textFill>
        </w:rPr>
        <w:t>.2</w:t>
      </w:r>
      <w:r>
        <w:rPr>
          <w:rFonts w:hint="eastAsia" w:ascii="宋体" w:hAnsi="宋体" w:cs="宋体"/>
          <w:color w:val="000000" w:themeColor="text1"/>
          <w:sz w:val="24"/>
          <w:szCs w:val="24"/>
          <w:lang w:val="zh-CN"/>
          <w14:textFill>
            <w14:solidFill>
              <w14:schemeClr w14:val="tx1"/>
            </w14:solidFill>
          </w14:textFill>
        </w:rPr>
        <w:t>投标人认为需要的其他技术文件或说明；</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3</w:t>
      </w:r>
      <w:r>
        <w:rPr>
          <w:rFonts w:ascii="宋体" w:hAnsi="宋体"/>
          <w:bCs/>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投标人的服务承诺应按不低于招标文件中商务要求的标准；</w:t>
      </w:r>
    </w:p>
    <w:p>
      <w:pPr>
        <w:spacing w:line="500" w:lineRule="exact"/>
        <w:ind w:firstLine="48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3</w:t>
      </w:r>
      <w:r>
        <w:rPr>
          <w:rFonts w:ascii="宋体" w:hAnsi="宋体"/>
          <w:bCs/>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tabs>
          <w:tab w:val="left" w:pos="1035"/>
        </w:tabs>
        <w:autoSpaceDE w:val="0"/>
        <w:autoSpaceDN w:val="0"/>
        <w:adjustRightInd w:val="0"/>
        <w:spacing w:line="500" w:lineRule="exact"/>
        <w:ind w:firstLine="480" w:firstLineChars="200"/>
        <w:rPr>
          <w:rFonts w:ascii="宋体" w:cs="宋体"/>
          <w:color w:val="000000" w:themeColor="text1"/>
          <w:sz w:val="24"/>
          <w:szCs w:val="24"/>
          <w:lang w:val="zh-CN"/>
          <w14:textFill>
            <w14:solidFill>
              <w14:schemeClr w14:val="tx1"/>
            </w14:solidFill>
          </w14:textFill>
        </w:rPr>
      </w:pPr>
      <w:r>
        <w:rPr>
          <w:rFonts w:ascii="宋体" w:hAnsi="宋体" w:cs="宋体"/>
          <w:color w:val="000000" w:themeColor="text1"/>
          <w:sz w:val="24"/>
          <w:szCs w:val="24"/>
          <w:lang w:val="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ascii="宋体" w:hAnsi="宋体" w:cs="宋体"/>
          <w:color w:val="000000" w:themeColor="text1"/>
          <w:sz w:val="24"/>
          <w:szCs w:val="24"/>
          <w:lang w:val="zh-CN"/>
          <w14:textFill>
            <w14:solidFill>
              <w14:schemeClr w14:val="tx1"/>
            </w14:solidFill>
          </w14:textFill>
        </w:rPr>
        <w:t xml:space="preserve">.5 </w:t>
      </w:r>
      <w:r>
        <w:rPr>
          <w:rFonts w:hint="eastAsia" w:ascii="宋体" w:hAnsi="宋体" w:cs="宋体"/>
          <w:color w:val="000000" w:themeColor="text1"/>
          <w:sz w:val="24"/>
          <w:szCs w:val="24"/>
          <w:lang w:val="zh-CN"/>
          <w14:textFill>
            <w14:solidFill>
              <w14:schemeClr w14:val="tx1"/>
            </w14:solidFill>
          </w14:textFill>
        </w:rPr>
        <w:t>培训计划。</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80" w:name="_Toc49090510"/>
      <w:bookmarkStart w:id="81" w:name="_Toc14577359"/>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、投标函和开标一览表</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投标人应按照招标文件中提供的格式完整、正确填写投标函、开标一览表。</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开标一览表中的价格应与投标文件中报价清单中的价格一致，如不一致，</w:t>
      </w:r>
      <w:r>
        <w:rPr>
          <w:rFonts w:hint="eastAsia" w:ascii="宋体" w:hAnsi="宋体"/>
          <w:color w:val="000000" w:themeColor="text1"/>
          <w:sz w:val="24"/>
          <w:szCs w:val="24"/>
          <w14:textFill>
            <w14:solidFill>
              <w14:schemeClr w14:val="tx1"/>
            </w14:solidFill>
          </w14:textFill>
        </w:rPr>
        <w:t>不作为无效投标处理</w:t>
      </w:r>
      <w:r>
        <w:rPr>
          <w:rFonts w:hint="eastAsia" w:ascii="宋体" w:hAnsi="宋体"/>
          <w:bCs/>
          <w:color w:val="000000" w:themeColor="text1"/>
          <w:sz w:val="24"/>
          <w:szCs w:val="24"/>
          <w14:textFill>
            <w14:solidFill>
              <w14:schemeClr w14:val="tx1"/>
            </w14:solidFill>
          </w14:textFill>
        </w:rPr>
        <w:t>，但评标时按开标一览表中价格为准</w:t>
      </w:r>
      <w:r>
        <w:rPr>
          <w:rFonts w:hint="eastAsia" w:ascii="宋体" w:hAnsi="宋体"/>
          <w:b/>
          <w:bCs/>
          <w:color w:val="000000" w:themeColor="text1"/>
          <w:sz w:val="24"/>
          <w:szCs w:val="24"/>
          <w14:textFill>
            <w14:solidFill>
              <w14:schemeClr w14:val="tx1"/>
            </w14:solidFill>
          </w14:textFill>
        </w:rPr>
        <w:t>。</w:t>
      </w:r>
    </w:p>
    <w:bookmarkEnd w:id="80"/>
    <w:bookmarkEnd w:id="81"/>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82" w:name="_Toc49090511"/>
      <w:bookmarkStart w:id="83" w:name="_Toc14577360"/>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、投标有效期</w:t>
      </w:r>
      <w:bookmarkEnd w:id="82"/>
      <w:bookmarkEnd w:id="83"/>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投标有效期为</w:t>
      </w:r>
      <w:r>
        <w:rPr>
          <w:rFonts w:hint="eastAsia" w:ascii="宋体" w:hAnsi="宋体"/>
          <w:bCs/>
          <w:sz w:val="24"/>
          <w:szCs w:val="24"/>
          <w:u w:val="single"/>
        </w:rPr>
        <w:t xml:space="preserve"> </w:t>
      </w:r>
      <w:r>
        <w:rPr>
          <w:rFonts w:ascii="宋体" w:hAnsi="宋体"/>
          <w:b/>
          <w:sz w:val="24"/>
          <w:szCs w:val="24"/>
          <w:u w:val="single"/>
        </w:rPr>
        <w:t>60</w:t>
      </w:r>
      <w:r>
        <w:rPr>
          <w:rFonts w:hint="eastAsia" w:ascii="宋体" w:hAnsi="宋体"/>
          <w:b/>
          <w:sz w:val="24"/>
          <w:szCs w:val="24"/>
          <w:u w:val="single"/>
        </w:rPr>
        <w:t xml:space="preserve"> </w:t>
      </w:r>
      <w:r>
        <w:rPr>
          <w:rFonts w:hint="eastAsia" w:ascii="宋体" w:hAnsi="宋体"/>
          <w:b/>
          <w:sz w:val="24"/>
          <w:szCs w:val="24"/>
        </w:rPr>
        <w:t>天</w:t>
      </w:r>
      <w:r>
        <w:rPr>
          <w:rFonts w:hint="eastAsia" w:ascii="宋体" w:hAnsi="宋体"/>
          <w:bCs/>
          <w:sz w:val="24"/>
          <w:szCs w:val="24"/>
        </w:rPr>
        <w:t>。</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.2</w:t>
      </w:r>
      <w:r>
        <w:rPr>
          <w:rFonts w:hint="eastAsia" w:ascii="宋体" w:hAnsi="宋体"/>
          <w:bCs/>
          <w:color w:val="000000"/>
          <w:sz w:val="24"/>
        </w:rPr>
        <w:t>在特殊情况下，</w:t>
      </w:r>
      <w:r>
        <w:rPr>
          <w:rFonts w:hint="eastAsia" w:ascii="宋体" w:hAnsi="宋体"/>
          <w:bCs/>
          <w:color w:val="000000"/>
          <w:sz w:val="24"/>
          <w:lang w:val="en-US" w:eastAsia="zh-CN"/>
        </w:rPr>
        <w:t>采购人</w:t>
      </w:r>
      <w:r>
        <w:rPr>
          <w:rFonts w:hint="eastAsia" w:ascii="宋体" w:hAnsi="宋体"/>
          <w:bCs/>
          <w:color w:val="000000"/>
          <w:sz w:val="24"/>
        </w:rPr>
        <w:t>于原投标有效期满之前，可向投标人提出延长投标有效期的要求。这种要求与答复均应采用书面形式。投标人可以拒绝采购</w:t>
      </w:r>
      <w:r>
        <w:rPr>
          <w:rFonts w:hint="eastAsia" w:ascii="宋体" w:hAnsi="宋体"/>
          <w:bCs/>
          <w:color w:val="000000"/>
          <w:sz w:val="24"/>
          <w:lang w:val="en-US" w:eastAsia="zh-CN"/>
        </w:rPr>
        <w:t>人</w:t>
      </w:r>
      <w:r>
        <w:rPr>
          <w:rFonts w:hint="eastAsia" w:ascii="宋体" w:hAnsi="宋体"/>
          <w:bCs/>
          <w:color w:val="000000"/>
          <w:sz w:val="24"/>
        </w:rPr>
        <w:t>的这一要求而放弃投标</w:t>
      </w:r>
      <w:r>
        <w:rPr>
          <w:rFonts w:hint="eastAsia" w:ascii="宋体" w:hAnsi="宋体"/>
          <w:color w:val="000000"/>
          <w:sz w:val="24"/>
          <w:szCs w:val="24"/>
        </w:rPr>
        <w:t>。</w:t>
      </w:r>
      <w:r>
        <w:rPr>
          <w:rFonts w:hint="eastAsia" w:ascii="宋体" w:hAnsi="宋体"/>
          <w:bCs/>
          <w:color w:val="000000"/>
          <w:sz w:val="24"/>
        </w:rPr>
        <w:t>同意延长投标有效期的投标人既不能要求也不允许修改其投标文件。</w:t>
      </w:r>
    </w:p>
    <w:p>
      <w:pPr>
        <w:pStyle w:val="6"/>
        <w:spacing w:before="0" w:after="0" w:line="500" w:lineRule="exact"/>
        <w:ind w:firstLine="361" w:firstLineChars="150"/>
        <w:rPr>
          <w:rFonts w:ascii="宋体" w:hAnsi="宋体" w:eastAsia="宋体"/>
          <w:color w:val="000000" w:themeColor="text1"/>
          <w:sz w:val="24"/>
          <w:szCs w:val="24"/>
          <w14:textFill>
            <w14:solidFill>
              <w14:schemeClr w14:val="tx1"/>
            </w14:solidFill>
          </w14:textFill>
        </w:rPr>
      </w:pPr>
      <w:bookmarkStart w:id="84" w:name="_Toc49090512"/>
      <w:bookmarkStart w:id="85" w:name="_Toc14577361"/>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、投标文件份数和签署</w:t>
      </w:r>
      <w:bookmarkEnd w:id="84"/>
      <w:bookmarkEnd w:id="85"/>
    </w:p>
    <w:p>
      <w:pPr>
        <w:spacing w:line="500" w:lineRule="exact"/>
        <w:ind w:firstLine="482" w:firstLineChars="200"/>
        <w:rPr>
          <w:rFonts w:ascii="宋体"/>
          <w:color w:val="000000"/>
          <w:sz w:val="24"/>
          <w:szCs w:val="24"/>
        </w:rPr>
      </w:pPr>
      <w:bookmarkStart w:id="86" w:name="_Toc120614217"/>
      <w:bookmarkStart w:id="87" w:name="_Toc20823296"/>
      <w:bookmarkStart w:id="88" w:name="_Toc16938540"/>
      <w:bookmarkStart w:id="89" w:name="_Toc513029224"/>
      <w:r>
        <w:rPr>
          <w:rFonts w:ascii="宋体" w:hAnsi="宋体"/>
          <w:b/>
          <w:color w:val="FF0000"/>
          <w:sz w:val="24"/>
          <w:szCs w:val="24"/>
        </w:rPr>
        <w:t>1</w:t>
      </w:r>
      <w:r>
        <w:rPr>
          <w:rFonts w:hint="eastAsia" w:ascii="宋体" w:hAnsi="宋体"/>
          <w:b/>
          <w:color w:val="FF0000"/>
          <w:sz w:val="24"/>
          <w:szCs w:val="24"/>
          <w:lang w:val="en-US" w:eastAsia="zh-CN"/>
        </w:rPr>
        <w:t>6.</w:t>
      </w:r>
      <w:r>
        <w:rPr>
          <w:rFonts w:ascii="宋体" w:hAnsi="宋体"/>
          <w:b/>
          <w:color w:val="FF0000"/>
          <w:sz w:val="24"/>
          <w:szCs w:val="24"/>
        </w:rPr>
        <w:t xml:space="preserve">1 </w:t>
      </w:r>
      <w:r>
        <w:rPr>
          <w:rFonts w:hint="eastAsia" w:ascii="宋体" w:hAnsi="宋体"/>
          <w:b/>
          <w:color w:val="FF0000"/>
          <w:sz w:val="24"/>
          <w:szCs w:val="24"/>
        </w:rPr>
        <w:t>投标文件均为正本一份，副本</w:t>
      </w:r>
      <w:r>
        <w:rPr>
          <w:rFonts w:hint="eastAsia" w:ascii="宋体" w:hAnsi="宋体"/>
          <w:b/>
          <w:color w:val="FF0000"/>
          <w:sz w:val="24"/>
          <w:szCs w:val="24"/>
          <w:lang w:val="en-US" w:eastAsia="zh-CN"/>
        </w:rPr>
        <w:t>贰</w:t>
      </w:r>
      <w:r>
        <w:rPr>
          <w:rFonts w:hint="eastAsia" w:ascii="宋体" w:hAnsi="宋体"/>
          <w:b/>
          <w:color w:val="FF0000"/>
          <w:sz w:val="24"/>
          <w:szCs w:val="24"/>
        </w:rPr>
        <w:t>份</w:t>
      </w:r>
      <w:r>
        <w:rPr>
          <w:rFonts w:hint="eastAsia" w:ascii="宋体" w:hAnsi="宋体"/>
          <w:color w:val="000000"/>
          <w:sz w:val="24"/>
          <w:szCs w:val="24"/>
        </w:rPr>
        <w:t>。</w:t>
      </w:r>
      <w:bookmarkStart w:id="146" w:name="_GoBack"/>
      <w:bookmarkEnd w:id="146"/>
    </w:p>
    <w:p>
      <w:pPr>
        <w:spacing w:line="500" w:lineRule="exact"/>
        <w:ind w:firstLine="480" w:firstLineChars="200"/>
        <w:rPr>
          <w:rFonts w:ascii="宋体" w:hAnsi="宋体"/>
          <w:bCs/>
          <w:color w:val="000000"/>
          <w:sz w:val="24"/>
          <w:szCs w:val="24"/>
        </w:rPr>
      </w:pPr>
      <w:r>
        <w:rPr>
          <w:rFonts w:hint="eastAsia" w:ascii="宋体" w:hAnsi="宋体"/>
          <w:bCs/>
          <w:color w:val="000000"/>
          <w:sz w:val="24"/>
          <w:szCs w:val="24"/>
        </w:rPr>
        <w:t>标书包括的内容为：</w:t>
      </w:r>
      <w:r>
        <w:rPr>
          <w:rFonts w:hint="eastAsia" w:ascii="宋体" w:hAnsi="宋体"/>
          <w:color w:val="000000"/>
          <w:sz w:val="24"/>
          <w:szCs w:val="24"/>
        </w:rPr>
        <w:t>资格、资格信誉等证明文件、报价清单、商务条款响应及偏离表、投标函、开标一览表以及招标文件规定的其他证明材料等。</w:t>
      </w:r>
    </w:p>
    <w:p>
      <w:pPr>
        <w:spacing w:line="500" w:lineRule="exact"/>
        <w:ind w:firstLine="480" w:firstLineChars="200"/>
        <w:rPr>
          <w:rFonts w:ascii="宋体" w:hAnsi="宋体"/>
          <w:bCs/>
          <w:color w:val="000000"/>
          <w:sz w:val="24"/>
          <w:szCs w:val="24"/>
        </w:rPr>
      </w:pPr>
      <w:r>
        <w:rPr>
          <w:rFonts w:hint="eastAsia" w:ascii="宋体" w:hAnsi="宋体"/>
          <w:bCs/>
          <w:color w:val="000000"/>
          <w:sz w:val="24"/>
          <w:szCs w:val="24"/>
        </w:rPr>
        <w:t>1</w:t>
      </w:r>
      <w:r>
        <w:rPr>
          <w:rFonts w:hint="eastAsia" w:ascii="宋体" w:hAnsi="宋体"/>
          <w:bCs/>
          <w:color w:val="000000"/>
          <w:sz w:val="24"/>
          <w:szCs w:val="24"/>
          <w:lang w:val="en-US" w:eastAsia="zh-CN"/>
        </w:rPr>
        <w:t>6</w:t>
      </w:r>
      <w:r>
        <w:rPr>
          <w:rFonts w:hint="eastAsia" w:ascii="宋体" w:hAnsi="宋体"/>
          <w:bCs/>
          <w:color w:val="000000"/>
          <w:sz w:val="24"/>
          <w:szCs w:val="24"/>
        </w:rPr>
        <w:t>.2投标人应严格按照招标文件要求的份数准备投标文件，每份投标文件须清楚地标明“正本”或“副本”字样。一旦正本和副本不符，以正本为准。</w:t>
      </w:r>
    </w:p>
    <w:p>
      <w:pPr>
        <w:pStyle w:val="32"/>
        <w:ind w:firstLine="480"/>
        <w:rPr>
          <w:rFonts w:ascii="宋体" w:hAnsi="宋体" w:eastAsia="宋体"/>
          <w:bCs/>
          <w:color w:val="FF0000"/>
          <w:sz w:val="24"/>
          <w:szCs w:val="24"/>
        </w:rPr>
      </w:pPr>
      <w:r>
        <w:rPr>
          <w:rFonts w:ascii="宋体" w:hAnsi="宋体" w:eastAsia="宋体"/>
          <w:bCs/>
          <w:color w:val="000000"/>
          <w:sz w:val="24"/>
          <w:szCs w:val="24"/>
        </w:rPr>
        <w:t>1</w:t>
      </w:r>
      <w:r>
        <w:rPr>
          <w:rFonts w:hint="eastAsia" w:ascii="宋体" w:hAnsi="宋体" w:eastAsia="宋体"/>
          <w:bCs/>
          <w:color w:val="000000"/>
          <w:sz w:val="24"/>
          <w:szCs w:val="24"/>
          <w:lang w:val="en-US" w:eastAsia="zh-CN"/>
        </w:rPr>
        <w:t>6</w:t>
      </w:r>
      <w:r>
        <w:rPr>
          <w:rFonts w:ascii="宋体" w:hAnsi="宋体" w:eastAsia="宋体"/>
          <w:bCs/>
          <w:color w:val="000000"/>
          <w:sz w:val="24"/>
          <w:szCs w:val="24"/>
        </w:rPr>
        <w:t>.3</w:t>
      </w:r>
      <w:r>
        <w:rPr>
          <w:rFonts w:hint="eastAsia" w:ascii="宋体" w:hAnsi="宋体" w:eastAsia="宋体" w:cs="Times New Roman"/>
          <w:bCs/>
          <w:color w:val="000000"/>
          <w:kern w:val="2"/>
          <w:sz w:val="24"/>
          <w:szCs w:val="24"/>
          <w:lang w:val="en-US" w:eastAsia="zh-CN" w:bidi="ar-SA"/>
        </w:rPr>
        <w:t>标书单独封装，招标文件要求提供的原件可直接放入标书投标文件封袋内或单独密封在一个封袋内，如果原件是单独密封的须在封袋上标明项目名称、投标人名称并在封口处密封并加盖投标人公章，与投标文件一起递交。投标文件正本中，文字材料需打印或用不褪色墨水书写。投标文件的正本须经法定代表人或授权委托人（被授权人）签署和加盖投标人公章。本采购文件所表述（指定）的公章是指法定名称章，不包括合同专用章、业务专用章等印章。（招标文件中要求提供原件的须在投标文件中提供复印件）。</w:t>
      </w:r>
    </w:p>
    <w:p>
      <w:pPr>
        <w:spacing w:line="500" w:lineRule="exact"/>
        <w:ind w:firstLine="480" w:firstLineChars="200"/>
        <w:rPr>
          <w:rFonts w:ascii="宋体" w:hAnsi="宋体"/>
          <w:bCs/>
          <w:color w:val="000000"/>
          <w:sz w:val="24"/>
          <w:szCs w:val="24"/>
        </w:rPr>
      </w:pPr>
      <w:r>
        <w:rPr>
          <w:rFonts w:ascii="宋体" w:hAnsi="宋体"/>
          <w:color w:val="000000"/>
          <w:sz w:val="24"/>
          <w:szCs w:val="24"/>
        </w:rPr>
        <w:t>1</w:t>
      </w:r>
      <w:r>
        <w:rPr>
          <w:rFonts w:hint="eastAsia" w:ascii="宋体" w:hAnsi="宋体"/>
          <w:color w:val="000000"/>
          <w:sz w:val="24"/>
          <w:szCs w:val="24"/>
          <w:lang w:val="en-US" w:eastAsia="zh-CN"/>
        </w:rPr>
        <w:t>6</w:t>
      </w:r>
      <w:r>
        <w:rPr>
          <w:rFonts w:ascii="宋体" w:hAnsi="宋体"/>
          <w:color w:val="000000"/>
          <w:sz w:val="24"/>
          <w:szCs w:val="24"/>
        </w:rPr>
        <w:t>.4</w:t>
      </w:r>
      <w:r>
        <w:rPr>
          <w:rFonts w:hint="eastAsia" w:ascii="宋体" w:hAnsi="宋体"/>
          <w:sz w:val="24"/>
        </w:rPr>
        <w:t>标书</w:t>
      </w:r>
      <w:r>
        <w:rPr>
          <w:rFonts w:hint="eastAsia" w:ascii="宋体" w:hAnsi="宋体"/>
          <w:bCs/>
          <w:color w:val="000000"/>
          <w:sz w:val="24"/>
          <w:szCs w:val="24"/>
        </w:rPr>
        <w:t>不得行间插字、涂改或增删。如有修改错漏处，必须由投标文件签署人签字或盖章。</w:t>
      </w:r>
    </w:p>
    <w:p>
      <w:pPr>
        <w:pStyle w:val="2"/>
        <w:spacing w:beforeLines="50" w:afterLines="50" w:line="500" w:lineRule="exact"/>
        <w:ind w:firstLine="361" w:firstLineChars="15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四、投标文件的递交</w:t>
      </w:r>
      <w:bookmarkEnd w:id="86"/>
      <w:bookmarkEnd w:id="87"/>
      <w:bookmarkEnd w:id="88"/>
      <w:bookmarkEnd w:id="89"/>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90" w:name="_Toc513029225"/>
      <w:bookmarkStart w:id="91" w:name="_Toc462564084"/>
      <w:bookmarkStart w:id="92" w:name="_Toc16938541"/>
      <w:bookmarkStart w:id="93" w:name="_Toc20823297"/>
      <w:r>
        <w:rPr>
          <w:rFonts w:hint="eastAsia" w:ascii="宋体" w:hAnsi="宋体" w:eastAsia="宋体"/>
          <w:color w:val="000000" w:themeColor="text1"/>
          <w:sz w:val="24"/>
          <w:szCs w:val="24"/>
          <w:lang w:val="en-US" w:eastAsia="zh-CN"/>
          <w14:textFill>
            <w14:solidFill>
              <w14:schemeClr w14:val="tx1"/>
            </w14:solidFill>
          </w14:textFill>
        </w:rPr>
        <w:t>17</w:t>
      </w:r>
      <w:r>
        <w:rPr>
          <w:rFonts w:hint="eastAsia" w:ascii="宋体" w:hAnsi="宋体" w:eastAsia="宋体"/>
          <w:color w:val="000000" w:themeColor="text1"/>
          <w:sz w:val="24"/>
          <w:szCs w:val="24"/>
          <w14:textFill>
            <w14:solidFill>
              <w14:schemeClr w14:val="tx1"/>
            </w14:solidFill>
          </w14:textFill>
        </w:rPr>
        <w:t>、投标文件的密封和标记</w:t>
      </w:r>
      <w:bookmarkEnd w:id="90"/>
      <w:bookmarkEnd w:id="91"/>
      <w:bookmarkEnd w:id="92"/>
      <w:bookmarkEnd w:id="93"/>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17</w:t>
      </w:r>
      <w:r>
        <w:rPr>
          <w:rFonts w:ascii="宋体" w:hAnsi="宋体"/>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投标人应将投标文件正本和所有副本密封，不论投标人中标与否，投标文件均不退回</w:t>
      </w:r>
      <w:r>
        <w:rPr>
          <w:rFonts w:hint="eastAsia" w:ascii="宋体" w:hAnsi="宋体"/>
          <w:bCs/>
          <w:color w:val="FF0000"/>
          <w:sz w:val="24"/>
          <w:szCs w:val="24"/>
        </w:rPr>
        <w:t>（投标原件除外）。</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color w:val="000000" w:themeColor="text1"/>
          <w:sz w:val="24"/>
          <w:szCs w:val="24"/>
          <w:lang w:val="en-US" w:eastAsia="zh-CN"/>
          <w14:textFill>
            <w14:solidFill>
              <w14:schemeClr w14:val="tx1"/>
            </w14:solidFill>
          </w14:textFill>
        </w:rPr>
        <w:t>17</w:t>
      </w:r>
      <w:r>
        <w:rPr>
          <w:rFonts w:ascii="宋体" w:hAnsi="宋体"/>
          <w:b/>
          <w:color w:val="000000" w:themeColor="text1"/>
          <w:sz w:val="24"/>
          <w:szCs w:val="24"/>
          <w14:textFill>
            <w14:solidFill>
              <w14:schemeClr w14:val="tx1"/>
            </w14:solidFill>
          </w14:textFill>
        </w:rPr>
        <w:t>.2</w:t>
      </w:r>
      <w:r>
        <w:rPr>
          <w:rFonts w:ascii="宋体" w:hAnsi="宋体"/>
          <w:b/>
          <w:bCs/>
          <w:color w:val="000000" w:themeColor="text1"/>
          <w:sz w:val="24"/>
          <w:szCs w:val="24"/>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密封的投标文件应：</w:t>
      </w:r>
    </w:p>
    <w:p>
      <w:pPr>
        <w:spacing w:line="500" w:lineRule="exact"/>
        <w:ind w:firstLine="480" w:firstLineChars="200"/>
        <w:rPr>
          <w:rFonts w:ascii="宋体" w:hAnsi="宋体"/>
          <w:bCs/>
          <w:color w:val="000000" w:themeColor="text1"/>
          <w:sz w:val="24"/>
          <w:szCs w:val="24"/>
          <w14:textFill>
            <w14:solidFill>
              <w14:schemeClr w14:val="tx1"/>
            </w14:solidFill>
          </w14:textFill>
        </w:rPr>
      </w:pPr>
      <w:bookmarkStart w:id="94" w:name="_Toc513029226"/>
      <w:bookmarkStart w:id="95" w:name="_Toc16938542"/>
      <w:bookmarkStart w:id="96" w:name="_Toc20823298"/>
      <w:r>
        <w:rPr>
          <w:rFonts w:hint="eastAsia" w:ascii="宋体" w:hAnsi="宋体"/>
          <w:bCs/>
          <w:color w:val="000000" w:themeColor="text1"/>
          <w:sz w:val="24"/>
          <w:szCs w:val="24"/>
          <w:lang w:val="en-US" w:eastAsia="zh-CN"/>
          <w14:textFill>
            <w14:solidFill>
              <w14:schemeClr w14:val="tx1"/>
            </w14:solidFill>
          </w14:textFill>
        </w:rPr>
        <w:t>17</w:t>
      </w:r>
      <w:r>
        <w:rPr>
          <w:rFonts w:hint="eastAsia" w:ascii="宋体" w:hAnsi="宋体"/>
          <w:bCs/>
          <w:color w:val="000000" w:themeColor="text1"/>
          <w:sz w:val="24"/>
          <w:szCs w:val="24"/>
          <w14:textFill>
            <w14:solidFill>
              <w14:schemeClr w14:val="tx1"/>
            </w14:solidFill>
          </w14:textFill>
        </w:rPr>
        <w:t>.2.1投标文件按招标文件的格式、样式要求装订、签署和盖章后装入封袋，封袋大小根据需要自行制作，在封袋上正确标明项目名称、投标人名称、包号。</w:t>
      </w:r>
    </w:p>
    <w:p>
      <w:pPr>
        <w:spacing w:line="5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17</w:t>
      </w:r>
      <w:r>
        <w:rPr>
          <w:rFonts w:hint="eastAsia" w:ascii="宋体" w:hAnsi="宋体"/>
          <w:bCs/>
          <w:color w:val="000000" w:themeColor="text1"/>
          <w:sz w:val="24"/>
          <w:szCs w:val="24"/>
          <w14:textFill>
            <w14:solidFill>
              <w14:schemeClr w14:val="tx1"/>
            </w14:solidFill>
          </w14:textFill>
        </w:rPr>
        <w:t>.2.2所有投标文件装入封袋后都必须在封口处密封并加盖投标人公章。</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17</w:t>
      </w:r>
      <w:r>
        <w:rPr>
          <w:rFonts w:ascii="宋体" w:hAnsi="宋体"/>
          <w:color w:val="000000" w:themeColor="text1"/>
          <w:sz w:val="24"/>
          <w:szCs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未按要求密封和加写标记的投标文件，采购人或采购代理机构将予以拒收。</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hint="eastAsia" w:ascii="宋体" w:hAnsi="宋体"/>
          <w:color w:val="000000" w:themeColor="text1"/>
          <w:sz w:val="24"/>
          <w:szCs w:val="24"/>
          <w14:textFill>
            <w14:solidFill>
              <w14:schemeClr w14:val="tx1"/>
            </w14:solidFill>
          </w14:textFill>
        </w:rPr>
        <w:t>、投标截止日期</w:t>
      </w:r>
      <w:bookmarkEnd w:id="94"/>
      <w:bookmarkEnd w:id="95"/>
      <w:bookmarkEnd w:id="96"/>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采购人或者采购代理机构收到投标文件的时间不得迟于招标公告中规定的截止时间。</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18</w:t>
      </w:r>
      <w:r>
        <w:rPr>
          <w:rFonts w:ascii="宋体" w:hAnsi="宋体"/>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采购人有权通过修改招标文件酌情延长投标截止日期，在此情况下，投标人的所有权利和义务以及投标人受制的截止日期均应以延长后新的截止日期为准。</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97" w:name="_Toc513029227"/>
      <w:bookmarkStart w:id="98" w:name="_Toc16938543"/>
      <w:bookmarkStart w:id="99" w:name="_Toc20823299"/>
      <w:r>
        <w:rPr>
          <w:rFonts w:hint="eastAsia" w:ascii="宋体" w:hAnsi="宋体" w:eastAsia="宋体"/>
          <w:color w:val="000000" w:themeColor="text1"/>
          <w:sz w:val="24"/>
          <w:szCs w:val="24"/>
          <w:lang w:val="en-US" w:eastAsia="zh-CN"/>
          <w14:textFill>
            <w14:solidFill>
              <w14:schemeClr w14:val="tx1"/>
            </w14:solidFill>
          </w14:textFill>
        </w:rPr>
        <w:t>19</w:t>
      </w:r>
      <w:r>
        <w:rPr>
          <w:rFonts w:hint="eastAsia" w:ascii="宋体" w:hAnsi="宋体" w:eastAsia="宋体"/>
          <w:color w:val="000000" w:themeColor="text1"/>
          <w:sz w:val="24"/>
          <w:szCs w:val="24"/>
          <w14:textFill>
            <w14:solidFill>
              <w14:schemeClr w14:val="tx1"/>
            </w14:solidFill>
          </w14:textFill>
        </w:rPr>
        <w:t>、</w:t>
      </w:r>
      <w:bookmarkEnd w:id="97"/>
      <w:bookmarkEnd w:id="98"/>
      <w:bookmarkEnd w:id="99"/>
      <w:r>
        <w:rPr>
          <w:rFonts w:hint="eastAsia" w:ascii="宋体" w:hAnsi="宋体" w:eastAsia="宋体"/>
          <w:color w:val="000000" w:themeColor="text1"/>
          <w:sz w:val="24"/>
          <w:szCs w:val="24"/>
          <w14:textFill>
            <w14:solidFill>
              <w14:schemeClr w14:val="tx1"/>
            </w14:solidFill>
          </w14:textFill>
        </w:rPr>
        <w:t>逾期送达的投标文件</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19</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采购人、采购代理机构拒绝接收在其规定的投标截止时间后递交的任何投标文件。</w:t>
      </w:r>
    </w:p>
    <w:p>
      <w:pPr>
        <w:pStyle w:val="6"/>
        <w:spacing w:before="0" w:after="0" w:line="500" w:lineRule="exact"/>
        <w:ind w:firstLine="482" w:firstLineChars="200"/>
        <w:rPr>
          <w:rFonts w:ascii="宋体" w:hAnsi="宋体" w:eastAsia="宋体"/>
          <w:b w:val="0"/>
          <w:bCs w:val="0"/>
          <w:color w:val="000000" w:themeColor="text1"/>
          <w:sz w:val="24"/>
          <w:szCs w:val="24"/>
          <w14:textFill>
            <w14:solidFill>
              <w14:schemeClr w14:val="tx1"/>
            </w14:solidFill>
          </w14:textFill>
        </w:rPr>
      </w:pPr>
      <w:bookmarkStart w:id="100" w:name="_Toc16938544"/>
      <w:bookmarkStart w:id="101" w:name="_Toc20823300"/>
      <w:bookmarkStart w:id="102" w:name="_Toc513029228"/>
      <w:r>
        <w:rPr>
          <w:rFonts w:hint="eastAsia" w:ascii="宋体" w:hAnsi="宋体" w:eastAsia="宋体"/>
          <w:color w:val="000000" w:themeColor="text1"/>
          <w:sz w:val="24"/>
          <w:szCs w:val="24"/>
          <w:lang w:val="en-US" w:eastAsia="zh-CN"/>
          <w14:textFill>
            <w14:solidFill>
              <w14:schemeClr w14:val="tx1"/>
            </w14:solidFill>
          </w14:textFill>
        </w:rPr>
        <w:t>20</w:t>
      </w:r>
      <w:r>
        <w:rPr>
          <w:rFonts w:hint="eastAsia" w:ascii="宋体" w:hAnsi="宋体" w:eastAsia="宋体"/>
          <w:color w:val="000000" w:themeColor="text1"/>
          <w:sz w:val="24"/>
          <w:szCs w:val="24"/>
          <w14:textFill>
            <w14:solidFill>
              <w14:schemeClr w14:val="tx1"/>
            </w14:solidFill>
          </w14:textFill>
        </w:rPr>
        <w:t>、投标文件的修改和撤回</w:t>
      </w:r>
      <w:bookmarkEnd w:id="100"/>
      <w:bookmarkEnd w:id="101"/>
      <w:bookmarkEnd w:id="102"/>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投标人在投标截止时间前，可以对所递交的投标文件进行补充、修改或者撤回，并书面通知采购人或者采购代理机构。</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.2</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投标人补充、修改的内容应当按照招标文件要求签署、盖章、密封后，作为投标文件的组成部分。并应在封套上加注“修改”或“撤回”字样。</w:t>
      </w:r>
      <w:r>
        <w:rPr>
          <w:rFonts w:hint="eastAsia" w:ascii="宋体" w:hAnsi="宋体"/>
          <w:color w:val="000000" w:themeColor="text1"/>
          <w:sz w:val="24"/>
          <w:szCs w:val="24"/>
          <w14:textFill>
            <w14:solidFill>
              <w14:schemeClr w14:val="tx1"/>
            </w14:solidFill>
          </w14:textFill>
        </w:rPr>
        <w:t>上述补充或修改若涉及投标报价，必须注明“最后唯一报价”字样，否则将视为有选择的报价。补充、修改的文件必须在投标截止时间前送达开标地点。</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0</w:t>
      </w:r>
      <w:r>
        <w:rPr>
          <w:rFonts w:ascii="宋体" w:hAnsi="宋体"/>
          <w:color w:val="000000" w:themeColor="text1"/>
          <w:sz w:val="24"/>
          <w:szCs w:val="24"/>
          <w14:textFill>
            <w14:solidFill>
              <w14:schemeClr w14:val="tx1"/>
            </w14:solidFill>
          </w14:textFill>
        </w:rPr>
        <w:t>.3</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在投标截止时间之后，投标人不得对其投标文件作任何补充、修改。</w:t>
      </w:r>
    </w:p>
    <w:p>
      <w:pPr>
        <w:spacing w:line="500" w:lineRule="exact"/>
        <w:ind w:firstLine="480" w:firstLineChars="200"/>
        <w:rPr>
          <w:rFonts w:hint="eastAsia" w:ascii="宋体" w:hAnsi="宋体"/>
          <w:bCs/>
          <w:color w:val="000000"/>
          <w:sz w:val="24"/>
        </w:rPr>
      </w:pPr>
      <w:bookmarkStart w:id="103" w:name="_Toc20823301"/>
      <w:bookmarkStart w:id="104" w:name="_Toc16938545"/>
      <w:bookmarkStart w:id="105" w:name="_Toc120614218"/>
      <w:bookmarkStart w:id="106" w:name="_Toc513029229"/>
      <w:r>
        <w:rPr>
          <w:rFonts w:hint="eastAsia" w:ascii="宋体" w:hAnsi="宋体"/>
          <w:color w:val="000000"/>
          <w:sz w:val="24"/>
        </w:rPr>
        <w:t>2</w:t>
      </w:r>
      <w:r>
        <w:rPr>
          <w:rFonts w:hint="eastAsia" w:ascii="宋体" w:hAnsi="宋体"/>
          <w:color w:val="000000"/>
          <w:sz w:val="24"/>
          <w:lang w:val="en-US" w:eastAsia="zh-CN"/>
        </w:rPr>
        <w:t>0</w:t>
      </w:r>
      <w:r>
        <w:rPr>
          <w:rFonts w:hint="eastAsia" w:ascii="宋体" w:hAnsi="宋体"/>
          <w:color w:val="000000"/>
          <w:sz w:val="24"/>
        </w:rPr>
        <w:t>.4</w:t>
      </w:r>
      <w:r>
        <w:rPr>
          <w:rFonts w:hint="eastAsia" w:ascii="宋体" w:hAnsi="宋体"/>
          <w:bCs/>
          <w:color w:val="000000"/>
          <w:sz w:val="24"/>
        </w:rPr>
        <w:t xml:space="preserve"> 在投标截止时间至招标文件中规定的投标有效期满之间的这段时间内，投标人不得撤回其投标。</w:t>
      </w:r>
    </w:p>
    <w:p>
      <w:pPr>
        <w:pStyle w:val="2"/>
        <w:spacing w:beforeLines="50" w:afterLines="50" w:line="500" w:lineRule="exact"/>
        <w:ind w:firstLine="361" w:firstLineChars="15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五、开标与评标</w:t>
      </w:r>
      <w:bookmarkEnd w:id="103"/>
      <w:bookmarkEnd w:id="104"/>
      <w:bookmarkEnd w:id="105"/>
      <w:bookmarkEnd w:id="106"/>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107" w:name="_Toc513029230"/>
      <w:bookmarkStart w:id="108" w:name="_Toc20823302"/>
      <w:bookmarkStart w:id="109" w:name="_Toc16938546"/>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、开标</w:t>
      </w:r>
      <w:bookmarkEnd w:id="107"/>
      <w:bookmarkEnd w:id="108"/>
      <w:bookmarkEnd w:id="109"/>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.1</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开标在招标文件规定的时间，地点进行</w:t>
      </w:r>
      <w:r>
        <w:rPr>
          <w:rFonts w:hint="eastAsia" w:ascii="宋体" w:hAnsi="宋体"/>
          <w:color w:val="000000" w:themeColor="text1"/>
          <w:sz w:val="24"/>
          <w:szCs w:val="24"/>
          <w14:textFill>
            <w14:solidFill>
              <w14:schemeClr w14:val="tx1"/>
            </w14:solidFill>
          </w14:textFill>
        </w:rPr>
        <w:t>。</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1</w:t>
      </w:r>
      <w:r>
        <w:rPr>
          <w:rFonts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开标由采购人或者采购代理机构主持，邀请投标人参加。</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按照规定同意撤回的投标将不予开封。</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1</w:t>
      </w:r>
      <w:r>
        <w:rPr>
          <w:rFonts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投标人不足</w:t>
      </w:r>
      <w:r>
        <w:rPr>
          <w:rFonts w:ascii="宋体" w:hAnsi="宋体"/>
          <w:bCs/>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家的，不予开标。</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.5 </w:t>
      </w:r>
      <w:r>
        <w:rPr>
          <w:rFonts w:hint="eastAsia" w:ascii="宋体" w:hAnsi="宋体"/>
          <w:color w:val="000000" w:themeColor="text1"/>
          <w:sz w:val="24"/>
          <w:szCs w:val="24"/>
          <w14:textFill>
            <w14:solidFill>
              <w14:schemeClr w14:val="tx1"/>
            </w14:solidFill>
          </w14:textFill>
        </w:rPr>
        <w:t>开标时，由投标人或者其推选的代表检查投标文件的密封情况；经确认无误后，由采购人或者采购代理机构工作人员当众拆封，宣布投标人开标一览表和招标文件规定的需要宣布的其他内容。开标时未宣布的投标报价信息，不得在评标时采用。</w:t>
      </w:r>
    </w:p>
    <w:p>
      <w:pPr>
        <w:spacing w:line="500" w:lineRule="exact"/>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.6 </w:t>
      </w:r>
      <w:r>
        <w:rPr>
          <w:rFonts w:hint="eastAsia" w:ascii="宋体" w:hAnsi="宋体"/>
          <w:color w:val="000000" w:themeColor="text1"/>
          <w:sz w:val="24"/>
          <w:szCs w:val="24"/>
          <w14:textFill>
            <w14:solidFill>
              <w14:schemeClr w14:val="tx1"/>
            </w14:solidFill>
          </w14:textFill>
        </w:rPr>
        <w:t>采购人或者采购代理机构负责记录开标过程，由参加开标的各投标人代表和相关工作人员签字确认后随采购文件一并存档。</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 xml:space="preserve">.7 </w:t>
      </w:r>
      <w:r>
        <w:rPr>
          <w:rFonts w:hint="eastAsia" w:ascii="宋体" w:hAnsi="宋体"/>
          <w:color w:val="000000" w:themeColor="text1"/>
          <w:sz w:val="24"/>
          <w:szCs w:val="24"/>
          <w14:textFill>
            <w14:solidFill>
              <w14:schemeClr w14:val="tx1"/>
            </w14:solidFill>
          </w14:textFill>
        </w:rPr>
        <w:t>投标人在报价时不允许采用选择性报价，否则将被视为无效投标。</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投标人未参加开标的，视同认可开标结果。</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110" w:name="_Toc20823303"/>
      <w:bookmarkStart w:id="111" w:name="_Toc513029231"/>
      <w:bookmarkStart w:id="112" w:name="_Toc16938547"/>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、评标委员会</w:t>
      </w:r>
    </w:p>
    <w:p>
      <w:pPr>
        <w:spacing w:line="500" w:lineRule="exact"/>
        <w:ind w:firstLine="465"/>
        <w:rPr>
          <w:rFonts w:asci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采购人或者采购代理机构负责组织评标工作。</w:t>
      </w:r>
    </w:p>
    <w:p>
      <w:pPr>
        <w:spacing w:line="500" w:lineRule="exact"/>
        <w:ind w:firstLine="465"/>
        <w:rPr>
          <w:rFonts w:ascii="宋体"/>
          <w:b/>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评标委员会</w:t>
      </w:r>
      <w:r>
        <w:rPr>
          <w:rFonts w:hint="eastAsia" w:ascii="宋体" w:hAnsi="宋体"/>
          <w:sz w:val="24"/>
          <w:szCs w:val="24"/>
        </w:rPr>
        <w:t>由采购人代表和有关技术、经济等方面的专家组成，且人员构成符合政府采购有关规定。</w:t>
      </w:r>
    </w:p>
    <w:p>
      <w:pPr>
        <w:spacing w:line="480" w:lineRule="exact"/>
        <w:ind w:firstLine="480" w:firstLineChars="200"/>
        <w:rPr>
          <w:rFonts w:ascii="宋体" w:hAnsi="宋体"/>
          <w:sz w:val="24"/>
          <w:szCs w:val="24"/>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评标委员会负责具体评标事务，并独立履行下列职责：</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.3.1</w:t>
      </w:r>
      <w:r>
        <w:rPr>
          <w:rFonts w:hint="eastAsia" w:ascii="宋体" w:hAnsi="宋体"/>
          <w:color w:val="000000" w:themeColor="text1"/>
          <w:sz w:val="24"/>
          <w:szCs w:val="24"/>
          <w14:textFill>
            <w14:solidFill>
              <w14:schemeClr w14:val="tx1"/>
            </w14:solidFill>
          </w14:textFill>
        </w:rPr>
        <w:t>审查、评价投标文件是否符合招标文件的商务、技术等实质性要求；</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.3.2</w:t>
      </w:r>
      <w:r>
        <w:rPr>
          <w:rFonts w:hint="eastAsia" w:ascii="宋体" w:hAnsi="宋体"/>
          <w:color w:val="000000" w:themeColor="text1"/>
          <w:sz w:val="24"/>
          <w:szCs w:val="24"/>
          <w14:textFill>
            <w14:solidFill>
              <w14:schemeClr w14:val="tx1"/>
            </w14:solidFill>
          </w14:textFill>
        </w:rPr>
        <w:t>要求投标人对投标文件有关事项作出澄清或者说明；</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.3.3</w:t>
      </w:r>
      <w:r>
        <w:rPr>
          <w:rFonts w:hint="eastAsia" w:ascii="宋体" w:hAnsi="宋体"/>
          <w:color w:val="000000" w:themeColor="text1"/>
          <w:sz w:val="24"/>
          <w:szCs w:val="24"/>
          <w14:textFill>
            <w14:solidFill>
              <w14:schemeClr w14:val="tx1"/>
            </w14:solidFill>
          </w14:textFill>
        </w:rPr>
        <w:t>对投标文件进行比较和评价；</w:t>
      </w:r>
    </w:p>
    <w:p>
      <w:pPr>
        <w:spacing w:line="5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.3.4</w:t>
      </w:r>
      <w:r>
        <w:rPr>
          <w:rFonts w:hint="eastAsia" w:ascii="宋体" w:hAnsi="宋体"/>
          <w:color w:val="000000" w:themeColor="text1"/>
          <w:sz w:val="24"/>
          <w:szCs w:val="24"/>
          <w14:textFill>
            <w14:solidFill>
              <w14:schemeClr w14:val="tx1"/>
            </w14:solidFill>
          </w14:textFill>
        </w:rPr>
        <w:t>确定中标候选人名单，以及根据采购人委托直接确定中标人；</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2</w:t>
      </w:r>
      <w:r>
        <w:rPr>
          <w:rFonts w:ascii="宋体" w:hAnsi="宋体"/>
          <w:color w:val="000000" w:themeColor="text1"/>
          <w:sz w:val="24"/>
          <w:szCs w:val="24"/>
          <w14:textFill>
            <w14:solidFill>
              <w14:schemeClr w14:val="tx1"/>
            </w14:solidFill>
          </w14:textFill>
        </w:rPr>
        <w:t>.3.5</w:t>
      </w:r>
      <w:r>
        <w:rPr>
          <w:rFonts w:hint="eastAsia" w:ascii="宋体" w:hAnsi="宋体"/>
          <w:color w:val="000000" w:themeColor="text1"/>
          <w:sz w:val="24"/>
          <w:szCs w:val="24"/>
          <w14:textFill>
            <w14:solidFill>
              <w14:schemeClr w14:val="tx1"/>
            </w14:solidFill>
          </w14:textFill>
        </w:rPr>
        <w:t>向采购人、采购代理机构或者有关部门报告评标中发现的违法行为。</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3</w:t>
      </w:r>
      <w:r>
        <w:rPr>
          <w:rFonts w:hint="eastAsia" w:ascii="宋体" w:hAnsi="宋体" w:eastAsia="宋体"/>
          <w:color w:val="000000" w:themeColor="text1"/>
          <w:sz w:val="24"/>
          <w:szCs w:val="24"/>
          <w14:textFill>
            <w14:solidFill>
              <w14:schemeClr w14:val="tx1"/>
            </w14:solidFill>
          </w14:textFill>
        </w:rPr>
        <w:t>．评标过程的保密与公正</w:t>
      </w:r>
    </w:p>
    <w:bookmarkEnd w:id="110"/>
    <w:bookmarkEnd w:id="111"/>
    <w:bookmarkEnd w:id="112"/>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采购人、采购代理机构采取必要措施，保证评标在严格保密的情况下进行。除采购人代表、评标现场组织人员外，采购人的其他工作人员以及与评标工作无关的人员不得进入评标现场。</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在评标过程中，投标人不得以任何行为影响评标过程，否则其投标文件将被作为无效投标文件。</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 xml:space="preserve">.3 </w:t>
      </w:r>
      <w:r>
        <w:rPr>
          <w:rFonts w:hint="eastAsia" w:ascii="宋体" w:hAnsi="宋体"/>
          <w:color w:val="000000" w:themeColor="text1"/>
          <w:sz w:val="24"/>
          <w:szCs w:val="24"/>
          <w14:textFill>
            <w14:solidFill>
              <w14:schemeClr w14:val="tx1"/>
            </w14:solidFill>
          </w14:textFill>
        </w:rPr>
        <w:t>有关人员对评标情况以及在评标过程中获悉的国家秘密、商业秘密负有保密责任。</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113" w:name="_Toc20823305"/>
      <w:bookmarkStart w:id="114" w:name="_Toc16938549"/>
      <w:bookmarkStart w:id="115" w:name="_Toc513029233"/>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4</w:t>
      </w:r>
      <w:r>
        <w:rPr>
          <w:rFonts w:hint="eastAsia" w:ascii="宋体" w:hAnsi="宋体" w:eastAsia="宋体"/>
          <w:color w:val="000000" w:themeColor="text1"/>
          <w:sz w:val="24"/>
          <w:szCs w:val="24"/>
          <w14:textFill>
            <w14:solidFill>
              <w14:schemeClr w14:val="tx1"/>
            </w14:solidFill>
          </w14:textFill>
        </w:rPr>
        <w:t>、对投标文件的初审</w:t>
      </w:r>
      <w:bookmarkEnd w:id="113"/>
      <w:bookmarkEnd w:id="114"/>
      <w:bookmarkEnd w:id="115"/>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4</w:t>
      </w:r>
      <w:r>
        <w:rPr>
          <w:rFonts w:ascii="宋体" w:hAnsi="宋体"/>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投标文件初审分为资格审查和符合性审查。</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资格审查</w:t>
      </w:r>
    </w:p>
    <w:p>
      <w:pPr>
        <w:spacing w:line="500" w:lineRule="exact"/>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开标结束后，采购人或者采购代理机构依法对投标人的资格进行审查。审查投标文件中的资格、资信证明文件等，以确定投标人是否具备投标资格。</w:t>
      </w:r>
    </w:p>
    <w:p>
      <w:pPr>
        <w:widowControl/>
        <w:spacing w:line="376" w:lineRule="atLeast"/>
        <w:jc w:val="left"/>
        <w:textAlignment w:val="baseline"/>
        <w:rPr>
          <w:rFonts w:ascii="宋体" w:hAnsi="宋体"/>
          <w:color w:val="FF0000"/>
          <w:sz w:val="24"/>
          <w:szCs w:val="24"/>
        </w:rPr>
      </w:pPr>
      <w:r>
        <w:rPr>
          <w:rFonts w:hint="eastAsia" w:ascii="宋体" w:hAnsi="宋体"/>
          <w:sz w:val="24"/>
          <w:szCs w:val="24"/>
        </w:rPr>
        <w:t xml:space="preserve">    </w:t>
      </w:r>
      <w:r>
        <w:rPr>
          <w:rFonts w:ascii="宋体" w:hAnsi="宋体"/>
          <w:color w:val="FF0000"/>
          <w:sz w:val="24"/>
          <w:szCs w:val="24"/>
        </w:rPr>
        <w:t>合格投标人不足3家的，不得评标。</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符合性审查</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评标委员会对符合资格的投标人的投标文件进行符合性审查。</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依据招标文件的规定，从投标文件的有效性、完整性和对招标文件的响应程度进行审查，以确定其是否满足招标文件的实质性要求。</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明确响应的投标应该是与招标文件要求的全部条款、条件和规格相符，没有重大偏离或保留的投标。</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标委员会按照少数服从多数的原则作出结论。认定</w:t>
      </w:r>
      <w:r>
        <w:rPr>
          <w:rFonts w:hint="eastAsia" w:ascii="宋体" w:hAnsi="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4</w:t>
      </w:r>
      <w:r>
        <w:rPr>
          <w:rFonts w:ascii="宋体" w:hAnsi="宋体"/>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如果投标文件没有明确响应招标文件的要求，评标委员会将按无效投标处理，投标人不得通过修改或撤销不合要求的偏离或保留而使其投标成为明确响应的投标。</w:t>
      </w:r>
    </w:p>
    <w:p>
      <w:pPr>
        <w:spacing w:line="500" w:lineRule="exact"/>
        <w:ind w:firstLine="480" w:firstLineChars="200"/>
        <w:rPr>
          <w:rFonts w:ascii="宋体" w:cs="Arial"/>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4</w:t>
      </w:r>
      <w:r>
        <w:rPr>
          <w:rFonts w:ascii="宋体" w:hAnsi="宋体"/>
          <w:color w:val="000000" w:themeColor="text1"/>
          <w:sz w:val="24"/>
          <w:szCs w:val="24"/>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评标委员会将对确定为明确响应的投标进行进一步审核，</w:t>
      </w:r>
      <w:r>
        <w:rPr>
          <w:rFonts w:hint="eastAsia" w:ascii="宋体" w:hAnsi="宋体" w:cs="Arial"/>
          <w:color w:val="000000" w:themeColor="text1"/>
          <w:kern w:val="0"/>
          <w:sz w:val="24"/>
          <w:szCs w:val="24"/>
          <w14:textFill>
            <w14:solidFill>
              <w14:schemeClr w14:val="tx1"/>
            </w14:solidFill>
          </w14:textFill>
        </w:rPr>
        <w:t>投标文件报价出现前后不一致的，除招标文件另有规定外，按照下列规定修正：</w:t>
      </w:r>
    </w:p>
    <w:p>
      <w:pPr>
        <w:widowControl/>
        <w:spacing w:before="100" w:beforeAutospacing="1" w:after="240" w:line="500" w:lineRule="exact"/>
        <w:ind w:firstLine="480" w:firstLineChars="200"/>
        <w:contextualSpacing/>
        <w:jc w:val="left"/>
        <w:rPr>
          <w:rFonts w:ascii="宋体" w:cs="Arial"/>
          <w:color w:val="000000" w:themeColor="text1"/>
          <w:kern w:val="0"/>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.3.1</w:t>
      </w:r>
      <w:r>
        <w:rPr>
          <w:rFonts w:hint="eastAsia" w:ascii="宋体" w:hAnsi="宋体" w:cs="Arial"/>
          <w:color w:val="000000" w:themeColor="text1"/>
          <w:kern w:val="0"/>
          <w:sz w:val="24"/>
          <w:szCs w:val="24"/>
          <w14:textFill>
            <w14:solidFill>
              <w14:schemeClr w14:val="tx1"/>
            </w14:solidFill>
          </w14:textFill>
        </w:rPr>
        <w:t>投标文件中开标一览表内容与投标文件中相应内容不一致的，以开标一览表为准；</w:t>
      </w:r>
    </w:p>
    <w:p>
      <w:pPr>
        <w:widowControl/>
        <w:spacing w:before="100" w:beforeAutospacing="1" w:after="240" w:line="500" w:lineRule="exact"/>
        <w:contextualSpacing/>
        <w:jc w:val="left"/>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.3.2</w:t>
      </w:r>
      <w:r>
        <w:rPr>
          <w:rFonts w:hint="eastAsia" w:ascii="宋体" w:hAnsi="宋体" w:cs="Arial"/>
          <w:color w:val="000000" w:themeColor="text1"/>
          <w:kern w:val="0"/>
          <w:sz w:val="24"/>
          <w:szCs w:val="24"/>
          <w14:textFill>
            <w14:solidFill>
              <w14:schemeClr w14:val="tx1"/>
            </w14:solidFill>
          </w14:textFill>
        </w:rPr>
        <w:t>大写金额和小写金额不一致的，以大写金额为准；</w:t>
      </w:r>
    </w:p>
    <w:p>
      <w:pPr>
        <w:widowControl/>
        <w:spacing w:before="100" w:beforeAutospacing="1" w:after="240" w:line="500" w:lineRule="exact"/>
        <w:contextualSpacing/>
        <w:jc w:val="left"/>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.3.3</w:t>
      </w:r>
      <w:r>
        <w:rPr>
          <w:rFonts w:hint="eastAsia" w:ascii="宋体" w:hAnsi="宋体" w:cs="Arial"/>
          <w:color w:val="000000" w:themeColor="text1"/>
          <w:kern w:val="0"/>
          <w:sz w:val="24"/>
          <w:szCs w:val="24"/>
          <w14:textFill>
            <w14:solidFill>
              <w14:schemeClr w14:val="tx1"/>
            </w14:solidFill>
          </w14:textFill>
        </w:rPr>
        <w:t>单价金额小数点或者百分比有明显错位的，以开标一览表的总价为准，并修改单价；</w:t>
      </w:r>
    </w:p>
    <w:p>
      <w:pPr>
        <w:widowControl/>
        <w:spacing w:before="100" w:beforeAutospacing="1" w:after="240" w:line="500" w:lineRule="exact"/>
        <w:contextualSpacing/>
        <w:jc w:val="left"/>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.3.4</w:t>
      </w:r>
      <w:r>
        <w:rPr>
          <w:rFonts w:hint="eastAsia" w:ascii="宋体" w:hAnsi="宋体" w:cs="Arial"/>
          <w:color w:val="000000" w:themeColor="text1"/>
          <w:kern w:val="0"/>
          <w:sz w:val="24"/>
          <w:szCs w:val="24"/>
          <w14:textFill>
            <w14:solidFill>
              <w14:schemeClr w14:val="tx1"/>
            </w14:solidFill>
          </w14:textFill>
        </w:rPr>
        <w:t>总价金额与按单价汇总金额不一致的，以单价金额计算结果为准。</w:t>
      </w:r>
    </w:p>
    <w:p>
      <w:pPr>
        <w:spacing w:line="500" w:lineRule="exact"/>
        <w:ind w:firstLine="480" w:firstLineChars="200"/>
        <w:rPr>
          <w:rFonts w:ascii="宋体" w:cs="Arial"/>
          <w:kern w:val="0"/>
          <w:sz w:val="24"/>
          <w:szCs w:val="24"/>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4</w:t>
      </w:r>
      <w:r>
        <w:rPr>
          <w:rFonts w:ascii="宋体" w:hAnsi="宋体"/>
          <w:color w:val="000000" w:themeColor="text1"/>
          <w:sz w:val="24"/>
          <w:szCs w:val="24"/>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评标委员会将按上述修正错误的方法调整投标文件中的投</w:t>
      </w:r>
      <w:r>
        <w:rPr>
          <w:rFonts w:hint="eastAsia" w:ascii="宋体" w:hAnsi="宋体"/>
          <w:bCs/>
          <w:sz w:val="24"/>
          <w:szCs w:val="24"/>
        </w:rPr>
        <w:t>标报价，</w:t>
      </w:r>
      <w:r>
        <w:rPr>
          <w:rFonts w:hint="eastAsia" w:ascii="宋体" w:hAnsi="宋体" w:cs="Arial"/>
          <w:kern w:val="0"/>
          <w:sz w:val="24"/>
          <w:szCs w:val="24"/>
        </w:rPr>
        <w:t>修正后的报价应当采用书面形式，并加盖公章，或者由法定代表人或其授权的代表签字，经投标人确认后产生约束力，投标人不确认的，其投标无效。</w:t>
      </w:r>
    </w:p>
    <w:p>
      <w:pPr>
        <w:spacing w:line="460" w:lineRule="exact"/>
        <w:ind w:firstLine="480" w:firstLineChars="200"/>
        <w:rPr>
          <w:rFonts w:ascii="宋体" w:hAnsi="宋体"/>
          <w:sz w:val="24"/>
        </w:rPr>
      </w:pPr>
      <w:r>
        <w:rPr>
          <w:rFonts w:ascii="宋体" w:hAnsi="宋体" w:cs="Arial"/>
          <w:color w:val="000000" w:themeColor="text1"/>
          <w:kern w:val="0"/>
          <w:sz w:val="24"/>
          <w:szCs w:val="24"/>
          <w14:textFill>
            <w14:solidFill>
              <w14:schemeClr w14:val="tx1"/>
            </w14:solidFill>
          </w14:textFill>
        </w:rPr>
        <w:t>2</w:t>
      </w:r>
      <w:r>
        <w:rPr>
          <w:rFonts w:hint="eastAsia" w:ascii="宋体" w:hAnsi="宋体" w:cs="Arial"/>
          <w:color w:val="000000" w:themeColor="text1"/>
          <w:kern w:val="0"/>
          <w:sz w:val="24"/>
          <w:szCs w:val="24"/>
          <w:lang w:val="en-US" w:eastAsia="zh-CN"/>
          <w14:textFill>
            <w14:solidFill>
              <w14:schemeClr w14:val="tx1"/>
            </w14:solidFill>
          </w14:textFill>
        </w:rPr>
        <w:t>4</w:t>
      </w:r>
      <w:r>
        <w:rPr>
          <w:rFonts w:ascii="宋体" w:hAnsi="宋体" w:cs="Arial"/>
          <w:color w:val="000000" w:themeColor="text1"/>
          <w:kern w:val="0"/>
          <w:sz w:val="24"/>
          <w:szCs w:val="24"/>
          <w14:textFill>
            <w14:solidFill>
              <w14:schemeClr w14:val="tx1"/>
            </w14:solidFill>
          </w14:textFill>
        </w:rPr>
        <w:t>.5</w:t>
      </w:r>
      <w:r>
        <w:rPr>
          <w:rFonts w:ascii="宋体" w:hAnsi="宋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500" w:lineRule="exact"/>
        <w:ind w:firstLine="480" w:firstLineChars="200"/>
        <w:rPr>
          <w:rFonts w:ascii="宋体" w:hAnsi="宋体"/>
          <w:sz w:val="24"/>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14:textFill>
            <w14:solidFill>
              <w14:schemeClr w14:val="tx1"/>
            </w14:solidFill>
          </w14:textFill>
        </w:rPr>
        <w:t>.6</w:t>
      </w:r>
      <w:r>
        <w:rPr>
          <w:rFonts w:ascii="宋体" w:hAnsi="宋体"/>
          <w:b/>
          <w:sz w:val="24"/>
        </w:rPr>
        <w:t>采用最低评标价法的采购项目</w:t>
      </w:r>
      <w:r>
        <w:rPr>
          <w:rFonts w:hint="eastAsia" w:ascii="宋体" w:hAnsi="宋体"/>
          <w:b/>
          <w:sz w:val="24"/>
        </w:rPr>
        <w:t>：</w:t>
      </w:r>
      <w:r>
        <w:rPr>
          <w:rFonts w:ascii="宋体" w:hAnsi="宋体"/>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500" w:lineRule="exact"/>
        <w:ind w:firstLine="482" w:firstLineChars="200"/>
        <w:rPr>
          <w:rFonts w:ascii="宋体" w:hAnsi="宋体"/>
          <w:sz w:val="24"/>
        </w:rPr>
      </w:pPr>
      <w:r>
        <w:rPr>
          <w:rFonts w:ascii="宋体" w:hAnsi="宋体"/>
          <w:b/>
          <w:sz w:val="24"/>
        </w:rPr>
        <w:t>使用综合评分法的采购项目</w:t>
      </w:r>
      <w:r>
        <w:rPr>
          <w:rFonts w:hint="eastAsia" w:ascii="宋体" w:hAnsi="宋体"/>
          <w:b/>
          <w:sz w:val="24"/>
        </w:rPr>
        <w:t>：</w:t>
      </w:r>
      <w:r>
        <w:rPr>
          <w:rFonts w:ascii="宋体" w:hAnsi="宋体"/>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60" w:lineRule="exact"/>
        <w:ind w:firstLine="482" w:firstLineChars="200"/>
        <w:rPr>
          <w:rFonts w:ascii="宋体" w:hAnsi="宋体"/>
          <w:sz w:val="24"/>
        </w:rPr>
      </w:pPr>
      <w:r>
        <w:rPr>
          <w:rFonts w:ascii="宋体" w:hAnsi="宋体"/>
          <w:b/>
          <w:sz w:val="24"/>
        </w:rPr>
        <w:t>非单一产品采购项目</w:t>
      </w:r>
      <w:r>
        <w:rPr>
          <w:rFonts w:hint="eastAsia" w:ascii="宋体" w:hAnsi="宋体"/>
          <w:b/>
          <w:sz w:val="24"/>
        </w:rPr>
        <w:t>：</w:t>
      </w:r>
      <w:r>
        <w:rPr>
          <w:rFonts w:ascii="宋体" w:hAnsi="宋体"/>
          <w:sz w:val="24"/>
        </w:rPr>
        <w:t>采购人应当根据采购项目技术构成、产品价格比重等合理确定核心产品，并在招标文件中载明。多家投标人提供的核心产品品牌相同的，按前两款规定处理。</w:t>
      </w:r>
      <w:r>
        <w:rPr>
          <w:rFonts w:hint="eastAsia" w:ascii="宋体" w:hAnsi="宋体"/>
          <w:sz w:val="24"/>
        </w:rPr>
        <w:t xml:space="preserve"> </w:t>
      </w:r>
    </w:p>
    <w:p>
      <w:pPr>
        <w:spacing w:line="500" w:lineRule="exact"/>
        <w:ind w:firstLine="482" w:firstLineChars="200"/>
        <w:rPr>
          <w:rFonts w:asci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t>2</w:t>
      </w:r>
      <w:r>
        <w:rPr>
          <w:rFonts w:hint="eastAsia" w:ascii="宋体" w:hAnsi="宋体"/>
          <w:b/>
          <w:color w:val="000000" w:themeColor="text1"/>
          <w:sz w:val="24"/>
          <w:szCs w:val="24"/>
          <w:lang w:val="en-US" w:eastAsia="zh-CN"/>
          <w14:textFill>
            <w14:solidFill>
              <w14:schemeClr w14:val="tx1"/>
            </w14:solidFill>
          </w14:textFill>
        </w:rPr>
        <w:t>5</w:t>
      </w:r>
      <w:r>
        <w:rPr>
          <w:rFonts w:hint="eastAsia" w:ascii="宋体" w:hAnsi="宋体"/>
          <w:b/>
          <w:color w:val="000000" w:themeColor="text1"/>
          <w:sz w:val="24"/>
          <w:szCs w:val="24"/>
          <w14:textFill>
            <w14:solidFill>
              <w14:schemeClr w14:val="tx1"/>
            </w14:solidFill>
          </w14:textFill>
        </w:rPr>
        <w:t>、投标的澄清</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.1</w:t>
      </w:r>
      <w:r>
        <w:rPr>
          <w:rFonts w:hint="eastAsia" w:ascii="宋体" w:hAnsi="宋体" w:cs="Arial"/>
          <w:color w:val="000000" w:themeColor="text1"/>
          <w:kern w:val="0"/>
          <w:sz w:val="24"/>
          <w:szCs w:val="24"/>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500" w:lineRule="exact"/>
        <w:ind w:firstLine="480" w:firstLineChars="200"/>
        <w:rPr>
          <w:rFonts w:ascii="宋体" w:cs="Arial"/>
          <w:color w:val="000000" w:themeColor="text1"/>
          <w:kern w:val="0"/>
          <w:sz w:val="24"/>
          <w:szCs w:val="24"/>
          <w14:textFill>
            <w14:solidFill>
              <w14:schemeClr w14:val="tx1"/>
            </w14:solidFill>
          </w14:textFill>
        </w:rPr>
      </w:pPr>
      <w:r>
        <w:rPr>
          <w:rFonts w:ascii="宋体" w:hAnsi="宋体" w:cs="Arial"/>
          <w:color w:val="000000" w:themeColor="text1"/>
          <w:kern w:val="0"/>
          <w:sz w:val="24"/>
          <w:szCs w:val="24"/>
          <w14:textFill>
            <w14:solidFill>
              <w14:schemeClr w14:val="tx1"/>
            </w14:solidFill>
          </w14:textFill>
        </w:rPr>
        <w:t>2</w:t>
      </w:r>
      <w:r>
        <w:rPr>
          <w:rFonts w:hint="eastAsia" w:ascii="宋体" w:hAnsi="宋体" w:cs="Arial"/>
          <w:color w:val="000000" w:themeColor="text1"/>
          <w:kern w:val="0"/>
          <w:sz w:val="24"/>
          <w:szCs w:val="24"/>
          <w:lang w:val="en-US" w:eastAsia="zh-CN"/>
          <w14:textFill>
            <w14:solidFill>
              <w14:schemeClr w14:val="tx1"/>
            </w14:solidFill>
          </w14:textFill>
        </w:rPr>
        <w:t>5</w:t>
      </w:r>
      <w:r>
        <w:rPr>
          <w:rFonts w:ascii="宋体" w:hAnsi="宋体" w:cs="Arial"/>
          <w:color w:val="000000" w:themeColor="text1"/>
          <w:kern w:val="0"/>
          <w:sz w:val="24"/>
          <w:szCs w:val="24"/>
          <w14:textFill>
            <w14:solidFill>
              <w14:schemeClr w14:val="tx1"/>
            </w14:solidFill>
          </w14:textFill>
        </w:rPr>
        <w:t>.2</w:t>
      </w:r>
      <w:r>
        <w:rPr>
          <w:rFonts w:hint="eastAsia" w:ascii="宋体" w:hAnsi="宋体" w:cs="Arial"/>
          <w:color w:val="000000" w:themeColor="text1"/>
          <w:kern w:val="0"/>
          <w:sz w:val="24"/>
          <w:szCs w:val="24"/>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500" w:lineRule="exact"/>
        <w:ind w:firstLine="480" w:firstLineChars="200"/>
        <w:rPr>
          <w:rFonts w:asci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接到评标委员会澄清要求的投标人如未按规定做出澄清，其风险由投标人自行承担。</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bookmarkStart w:id="116" w:name="_Toc16938550"/>
      <w:bookmarkStart w:id="117" w:name="_Toc20823306"/>
      <w:bookmarkStart w:id="118" w:name="_Toc513029234"/>
      <w:r>
        <w:rPr>
          <w:rFonts w:ascii="宋体" w:hAnsi="宋体" w:eastAsia="宋体"/>
          <w:color w:val="000000" w:themeColor="text1"/>
          <w:sz w:val="24"/>
          <w:szCs w:val="24"/>
          <w14:textFill>
            <w14:solidFill>
              <w14:schemeClr w14:val="tx1"/>
            </w14:solidFill>
          </w14:textFill>
        </w:rPr>
        <w:t>2</w:t>
      </w:r>
      <w:r>
        <w:rPr>
          <w:rFonts w:hint="eastAsia" w:ascii="宋体" w:hAnsi="宋体" w:eastAsia="宋体"/>
          <w:color w:val="000000" w:themeColor="text1"/>
          <w:sz w:val="24"/>
          <w:szCs w:val="24"/>
          <w:lang w:val="en-US" w:eastAsia="zh-CN"/>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w:t>
      </w:r>
      <w:bookmarkEnd w:id="116"/>
      <w:bookmarkEnd w:id="117"/>
      <w:bookmarkEnd w:id="118"/>
      <w:r>
        <w:rPr>
          <w:rFonts w:hint="eastAsia" w:ascii="宋体" w:hAnsi="宋体" w:eastAsia="宋体"/>
          <w:color w:val="000000" w:themeColor="text1"/>
          <w:sz w:val="24"/>
          <w:szCs w:val="24"/>
          <w14:textFill>
            <w14:solidFill>
              <w14:schemeClr w14:val="tx1"/>
            </w14:solidFill>
          </w14:textFill>
        </w:rPr>
        <w:t>无效投标条款和废标条款</w:t>
      </w:r>
    </w:p>
    <w:p>
      <w:pPr>
        <w:spacing w:line="500" w:lineRule="exact"/>
        <w:ind w:left="479" w:leftChars="228"/>
        <w:rPr>
          <w:rFonts w:ascii="宋体"/>
          <w:color w:val="000000" w:themeColor="text1"/>
          <w:sz w:val="24"/>
          <w:szCs w:val="24"/>
          <w14:textFill>
            <w14:solidFill>
              <w14:schemeClr w14:val="tx1"/>
            </w14:solidFill>
          </w14:textFill>
        </w:rPr>
      </w:pPr>
      <w:bookmarkStart w:id="119" w:name="_Toc513029235"/>
      <w:bookmarkStart w:id="120" w:name="_Toc16938551"/>
      <w:bookmarkStart w:id="121" w:name="_Toc20823307"/>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6</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无效投标条款</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.1.1</w:t>
      </w:r>
      <w:r>
        <w:rPr>
          <w:rFonts w:hint="eastAsia" w:ascii="宋体" w:hAnsi="宋体"/>
          <w:bCs/>
          <w:color w:val="000000" w:themeColor="text1"/>
          <w:sz w:val="24"/>
          <w:szCs w:val="24"/>
          <w14:textFill>
            <w14:solidFill>
              <w14:schemeClr w14:val="tx1"/>
            </w14:solidFill>
          </w14:textFill>
        </w:rPr>
        <w:t>投标文件未按照招标文件要求签署、盖章的；</w:t>
      </w:r>
    </w:p>
    <w:p>
      <w:pPr>
        <w:spacing w:line="500" w:lineRule="exact"/>
        <w:ind w:left="479" w:leftChars="228"/>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不具备招标文件中规定资格要求的；</w:t>
      </w:r>
    </w:p>
    <w:p>
      <w:pPr>
        <w:spacing w:line="500" w:lineRule="exact"/>
        <w:ind w:left="479" w:leftChars="228"/>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3</w:t>
      </w:r>
      <w:r>
        <w:rPr>
          <w:rFonts w:hint="eastAsia" w:ascii="宋体" w:hAnsi="宋体"/>
          <w:bCs/>
          <w:color w:val="000000" w:themeColor="text1"/>
          <w:sz w:val="24"/>
          <w:szCs w:val="24"/>
          <w14:textFill>
            <w14:solidFill>
              <w14:schemeClr w14:val="tx1"/>
            </w14:solidFill>
          </w14:textFill>
        </w:rPr>
        <w:t>投标人在报价时采用选择性报价；</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投标人报价超过招标文件中规定的预算金额或者最高限价的；</w:t>
      </w:r>
    </w:p>
    <w:p>
      <w:pPr>
        <w:spacing w:line="500" w:lineRule="exact"/>
        <w:ind w:firstLine="480" w:firstLineChars="200"/>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未通过符合性审查的；</w:t>
      </w:r>
    </w:p>
    <w:p>
      <w:pPr>
        <w:spacing w:line="500" w:lineRule="exact"/>
        <w:ind w:firstLine="480" w:firstLineChars="200"/>
        <w:rPr>
          <w:rFonts w:ascii="宋体"/>
          <w:bCs/>
          <w:i/>
          <w:color w:val="000000" w:themeColor="text1"/>
          <w:sz w:val="24"/>
          <w:szCs w:val="24"/>
          <w:u w:val="single"/>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投标文件含有采购人不能接受的附加条件的；</w:t>
      </w:r>
    </w:p>
    <w:p>
      <w:pPr>
        <w:spacing w:line="500" w:lineRule="exact"/>
        <w:ind w:firstLine="360" w:firstLineChars="150"/>
        <w:rPr>
          <w:rFonts w:ascii="宋体"/>
          <w:b/>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 xml:space="preserve"> 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7</w:t>
      </w:r>
      <w:r>
        <w:rPr>
          <w:rFonts w:hint="eastAsia" w:ascii="宋体" w:hAnsi="宋体"/>
          <w:bCs/>
          <w:color w:val="000000" w:themeColor="text1"/>
          <w:sz w:val="24"/>
          <w:szCs w:val="24"/>
          <w14:textFill>
            <w14:solidFill>
              <w14:schemeClr w14:val="tx1"/>
            </w14:solidFill>
          </w14:textFill>
        </w:rPr>
        <w:t>不符合招标文件中规定的其他实质性要求和条件的；</w:t>
      </w:r>
    </w:p>
    <w:p>
      <w:pPr>
        <w:pageBreakBefore w:val="0"/>
        <w:kinsoku/>
        <w:wordWrap/>
        <w:overflowPunct/>
        <w:topLinePunct w:val="0"/>
        <w:autoSpaceDE/>
        <w:autoSpaceDN/>
        <w:bidi w:val="0"/>
        <w:adjustRightInd/>
        <w:snapToGrid/>
        <w:spacing w:line="420" w:lineRule="exact"/>
        <w:ind w:firstLine="480" w:firstLineChars="200"/>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lang w:val="en-US" w:eastAsia="zh-CN"/>
          <w14:textFill>
            <w14:solidFill>
              <w14:schemeClr w14:val="tx1"/>
            </w14:solidFill>
          </w14:textFill>
        </w:rPr>
        <w:t>8</w:t>
      </w:r>
      <w:r>
        <w:rPr>
          <w:rFonts w:hint="eastAsia" w:ascii="宋体" w:hAnsi="宋体"/>
          <w:bCs/>
          <w:color w:val="000000" w:themeColor="text1"/>
          <w:sz w:val="24"/>
          <w:szCs w:val="24"/>
          <w14:textFill>
            <w14:solidFill>
              <w14:schemeClr w14:val="tx1"/>
            </w14:solidFill>
          </w14:textFill>
        </w:rPr>
        <w:t>其他法律、法规及本招标文件规定的属无效投标的情形。</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lang w:val="en-US" w:eastAsia="zh-CN"/>
          <w14:textFill>
            <w14:solidFill>
              <w14:schemeClr w14:val="tx1"/>
            </w14:solidFill>
          </w14:textFill>
        </w:rPr>
        <w:t>6</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废标条款</w:t>
      </w:r>
      <w:r>
        <w:rPr>
          <w:rFonts w:ascii="宋体" w:hAnsi="宋体"/>
          <w:color w:val="000000" w:themeColor="text1"/>
          <w:sz w:val="24"/>
          <w:szCs w:val="24"/>
          <w14:textFill>
            <w14:solidFill>
              <w14:schemeClr w14:val="tx1"/>
            </w14:solidFill>
          </w14:textFill>
        </w:rPr>
        <w:t xml:space="preserve">  </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.2.1</w:t>
      </w:r>
      <w:r>
        <w:rPr>
          <w:rFonts w:hint="eastAsia" w:ascii="宋体" w:hAnsi="宋体"/>
          <w:bCs/>
          <w:color w:val="000000" w:themeColor="text1"/>
          <w:sz w:val="24"/>
          <w:szCs w:val="24"/>
          <w14:textFill>
            <w14:solidFill>
              <w14:schemeClr w14:val="tx1"/>
            </w14:solidFill>
          </w14:textFill>
        </w:rPr>
        <w:t>符合专业条件的投标人或者对招标文件作实质性响应的投标人不足三家的；</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.2.2</w:t>
      </w:r>
      <w:r>
        <w:rPr>
          <w:rFonts w:hint="eastAsia" w:ascii="宋体" w:hAnsi="宋体"/>
          <w:bCs/>
          <w:color w:val="000000" w:themeColor="text1"/>
          <w:sz w:val="24"/>
          <w:szCs w:val="24"/>
          <w14:textFill>
            <w14:solidFill>
              <w14:schemeClr w14:val="tx1"/>
            </w14:solidFill>
          </w14:textFill>
        </w:rPr>
        <w:t>出现影响采购公正的违法、违规行为的；</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.2.3</w:t>
      </w:r>
      <w:r>
        <w:rPr>
          <w:rFonts w:hint="eastAsia" w:ascii="宋体" w:hAnsi="宋体"/>
          <w:bCs/>
          <w:color w:val="000000" w:themeColor="text1"/>
          <w:sz w:val="24"/>
          <w:szCs w:val="24"/>
          <w14:textFill>
            <w14:solidFill>
              <w14:schemeClr w14:val="tx1"/>
            </w14:solidFill>
          </w14:textFill>
        </w:rPr>
        <w:t>因重大变故，采购任务取消的；</w:t>
      </w:r>
    </w:p>
    <w:p>
      <w:pPr>
        <w:pageBreakBefore w:val="0"/>
        <w:kinsoku/>
        <w:wordWrap/>
        <w:overflowPunct/>
        <w:topLinePunct w:val="0"/>
        <w:autoSpaceDE/>
        <w:autoSpaceDN/>
        <w:bidi w:val="0"/>
        <w:adjustRightInd/>
        <w:snapToGrid/>
        <w:spacing w:line="420" w:lineRule="exact"/>
        <w:ind w:left="479" w:leftChars="228"/>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4投标人的报价均超过了采购预算或最高限价，采购人不能支付的；</w:t>
      </w:r>
    </w:p>
    <w:p>
      <w:pPr>
        <w:pageBreakBefore w:val="0"/>
        <w:kinsoku/>
        <w:wordWrap/>
        <w:overflowPunct/>
        <w:topLinePunct w:val="0"/>
        <w:autoSpaceDE/>
        <w:autoSpaceDN/>
        <w:bidi w:val="0"/>
        <w:adjustRightInd/>
        <w:snapToGrid/>
        <w:spacing w:line="420" w:lineRule="exact"/>
        <w:ind w:firstLine="480" w:firstLineChars="200"/>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5评标委员会发现招标文件存在歧义、</w:t>
      </w:r>
      <w:r>
        <w:rPr>
          <w:rFonts w:ascii="宋体" w:hAnsi="宋体"/>
          <w:bCs/>
          <w:color w:val="000000" w:themeColor="text1"/>
          <w:sz w:val="24"/>
          <w:szCs w:val="24"/>
          <w14:textFill>
            <w14:solidFill>
              <w14:schemeClr w14:val="tx1"/>
            </w14:solidFill>
          </w14:textFill>
        </w:rPr>
        <w:t xml:space="preserve"> </w:t>
      </w:r>
      <w:r>
        <w:rPr>
          <w:rFonts w:hint="eastAsia" w:ascii="宋体" w:hAnsi="宋体"/>
          <w:bCs/>
          <w:color w:val="000000" w:themeColor="text1"/>
          <w:sz w:val="24"/>
          <w:szCs w:val="24"/>
          <w14:textFill>
            <w14:solidFill>
              <w14:schemeClr w14:val="tx1"/>
            </w14:solidFill>
          </w14:textFill>
        </w:rPr>
        <w:t>重大缺陷导致评审工作无法进行，或者招标文件内容违反国家有关强制性规定的；</w:t>
      </w:r>
    </w:p>
    <w:p>
      <w:pPr>
        <w:pageBreakBefore w:val="0"/>
        <w:widowControl/>
        <w:kinsoku/>
        <w:wordWrap/>
        <w:overflowPunct/>
        <w:topLinePunct w:val="0"/>
        <w:autoSpaceDE/>
        <w:autoSpaceDN/>
        <w:bidi w:val="0"/>
        <w:adjustRightInd/>
        <w:snapToGrid/>
        <w:spacing w:before="100" w:beforeAutospacing="1" w:after="240" w:line="420" w:lineRule="exact"/>
        <w:ind w:firstLine="482" w:firstLineChars="200"/>
        <w:contextualSpacing/>
        <w:jc w:val="left"/>
        <w:textAlignment w:val="auto"/>
        <w:rPr>
          <w:rFonts w:ascii="宋体" w:cs="Arial"/>
          <w:b/>
          <w:bCs/>
          <w:color w:val="FF0000"/>
          <w:kern w:val="0"/>
          <w:sz w:val="24"/>
          <w:szCs w:val="24"/>
        </w:rPr>
      </w:pPr>
      <w:r>
        <w:rPr>
          <w:rFonts w:ascii="宋体" w:hAnsi="宋体"/>
          <w:b/>
          <w:bCs/>
          <w:color w:val="FF0000"/>
          <w:sz w:val="24"/>
          <w:szCs w:val="24"/>
        </w:rPr>
        <w:t>2</w:t>
      </w:r>
      <w:r>
        <w:rPr>
          <w:rFonts w:hint="eastAsia" w:ascii="宋体" w:hAnsi="宋体"/>
          <w:b/>
          <w:bCs/>
          <w:color w:val="FF0000"/>
          <w:sz w:val="24"/>
          <w:szCs w:val="24"/>
          <w:lang w:val="en-US" w:eastAsia="zh-CN"/>
        </w:rPr>
        <w:t>6</w:t>
      </w:r>
      <w:r>
        <w:rPr>
          <w:rFonts w:ascii="宋体" w:hAnsi="宋体"/>
          <w:b/>
          <w:bCs/>
          <w:color w:val="FF0000"/>
          <w:sz w:val="24"/>
          <w:szCs w:val="24"/>
        </w:rPr>
        <w:t>.3</w:t>
      </w:r>
      <w:r>
        <w:rPr>
          <w:rFonts w:hint="eastAsia" w:ascii="宋体" w:hAnsi="宋体" w:cs="Arial"/>
          <w:b/>
          <w:bCs/>
          <w:color w:val="FF0000"/>
          <w:kern w:val="0"/>
          <w:sz w:val="24"/>
          <w:szCs w:val="24"/>
        </w:rPr>
        <w:t>投标截止后投标人不足</w:t>
      </w:r>
      <w:r>
        <w:rPr>
          <w:rFonts w:ascii="宋体" w:hAnsi="宋体" w:cs="Arial"/>
          <w:b/>
          <w:bCs/>
          <w:color w:val="FF0000"/>
          <w:kern w:val="0"/>
          <w:sz w:val="24"/>
          <w:szCs w:val="24"/>
        </w:rPr>
        <w:t>3</w:t>
      </w:r>
      <w:r>
        <w:rPr>
          <w:rFonts w:hint="eastAsia" w:ascii="宋体" w:hAnsi="宋体" w:cs="Arial"/>
          <w:b/>
          <w:bCs/>
          <w:color w:val="FF0000"/>
          <w:kern w:val="0"/>
          <w:sz w:val="24"/>
          <w:szCs w:val="24"/>
        </w:rPr>
        <w:t>家或者通过资格审查、符合性审查的投标人不足</w:t>
      </w:r>
      <w:r>
        <w:rPr>
          <w:rFonts w:ascii="宋体" w:hAnsi="宋体" w:cs="Arial"/>
          <w:b/>
          <w:bCs/>
          <w:color w:val="FF0000"/>
          <w:kern w:val="0"/>
          <w:sz w:val="24"/>
          <w:szCs w:val="24"/>
        </w:rPr>
        <w:t>3</w:t>
      </w:r>
      <w:r>
        <w:rPr>
          <w:rFonts w:hint="eastAsia" w:ascii="宋体" w:hAnsi="宋体" w:cs="Arial"/>
          <w:b/>
          <w:bCs/>
          <w:color w:val="FF0000"/>
          <w:kern w:val="0"/>
          <w:sz w:val="24"/>
          <w:szCs w:val="24"/>
        </w:rPr>
        <w:t>家的，除采购任务取消情形外，按照以下方式处理：</w:t>
      </w:r>
    </w:p>
    <w:p>
      <w:pPr>
        <w:pageBreakBefore w:val="0"/>
        <w:widowControl/>
        <w:kinsoku/>
        <w:wordWrap/>
        <w:overflowPunct/>
        <w:topLinePunct w:val="0"/>
        <w:autoSpaceDE/>
        <w:autoSpaceDN/>
        <w:bidi w:val="0"/>
        <w:adjustRightInd/>
        <w:snapToGrid/>
        <w:spacing w:before="100" w:beforeAutospacing="1" w:after="240" w:line="420" w:lineRule="exact"/>
        <w:contextualSpacing/>
        <w:jc w:val="left"/>
        <w:textAlignment w:val="auto"/>
        <w:rPr>
          <w:rFonts w:ascii="宋体" w:hAnsi="宋体"/>
          <w:bCs/>
          <w:color w:val="000000" w:themeColor="text1"/>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hint="eastAsia" w:ascii="宋体" w:hAnsi="宋体"/>
          <w:bCs/>
          <w:color w:val="000000" w:themeColor="text1"/>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.3.1</w:t>
      </w:r>
      <w:r>
        <w:rPr>
          <w:rFonts w:hint="eastAsia" w:ascii="宋体" w:hAnsi="宋体"/>
          <w:bCs/>
          <w:color w:val="000000" w:themeColor="text1"/>
          <w:sz w:val="24"/>
          <w:szCs w:val="24"/>
          <w14:textFill>
            <w14:solidFill>
              <w14:schemeClr w14:val="tx1"/>
            </w14:solidFill>
          </w14:textFill>
        </w:rPr>
        <w:t>招标文件存在不合理条款或者招标程序不符合规定的，采购人、采购代理机构改正后依法重新招标；</w:t>
      </w:r>
      <w:r>
        <w:rPr>
          <w:rFonts w:ascii="宋体" w:hAnsi="宋体"/>
          <w:bCs/>
          <w:color w:val="000000" w:themeColor="text1"/>
          <w:sz w:val="24"/>
          <w:szCs w:val="24"/>
          <w14:textFill>
            <w14:solidFill>
              <w14:schemeClr w14:val="tx1"/>
            </w14:solidFill>
          </w14:textFill>
        </w:rPr>
        <w:t xml:space="preserve">    </w:t>
      </w:r>
    </w:p>
    <w:p>
      <w:pPr>
        <w:pageBreakBefore w:val="0"/>
        <w:widowControl/>
        <w:kinsoku/>
        <w:wordWrap/>
        <w:overflowPunct/>
        <w:topLinePunct w:val="0"/>
        <w:autoSpaceDE/>
        <w:autoSpaceDN/>
        <w:bidi w:val="0"/>
        <w:adjustRightInd/>
        <w:snapToGrid/>
        <w:spacing w:before="100" w:beforeAutospacing="1" w:after="240" w:line="420" w:lineRule="exact"/>
        <w:ind w:firstLine="480" w:firstLineChars="200"/>
        <w:contextualSpacing/>
        <w:jc w:val="left"/>
        <w:textAlignment w:val="auto"/>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r>
        <w:rPr>
          <w:rFonts w:hint="eastAsia" w:ascii="宋体" w:hAnsi="宋体"/>
          <w:bCs/>
          <w:color w:val="000000" w:themeColor="text1"/>
          <w:sz w:val="24"/>
          <w:szCs w:val="24"/>
          <w:lang w:val="en-US" w:eastAsia="zh-CN"/>
          <w14:textFill>
            <w14:solidFill>
              <w14:schemeClr w14:val="tx1"/>
            </w14:solidFill>
          </w14:textFill>
        </w:rPr>
        <w:t>6</w:t>
      </w:r>
      <w:r>
        <w:rPr>
          <w:rFonts w:ascii="宋体" w:hAnsi="宋体"/>
          <w:bCs/>
          <w:color w:val="000000" w:themeColor="text1"/>
          <w:sz w:val="24"/>
          <w:szCs w:val="24"/>
          <w14:textFill>
            <w14:solidFill>
              <w14:schemeClr w14:val="tx1"/>
            </w14:solidFill>
          </w14:textFill>
        </w:rPr>
        <w:t>.3.2</w:t>
      </w:r>
      <w:r>
        <w:rPr>
          <w:rFonts w:hint="eastAsia" w:ascii="宋体" w:hAnsi="宋体"/>
          <w:bCs/>
          <w:color w:val="000000" w:themeColor="text1"/>
          <w:sz w:val="24"/>
          <w:szCs w:val="24"/>
          <w14:textFill>
            <w14:solidFill>
              <w14:schemeClr w14:val="tx1"/>
            </w14:solidFill>
          </w14:textFill>
        </w:rPr>
        <w:t>招标文件没有不合理条款、招标程序符合规定。</w:t>
      </w:r>
      <w:r>
        <w:rPr>
          <w:rFonts w:ascii="宋体" w:hAnsi="宋体"/>
          <w:bCs/>
          <w:color w:val="000000" w:themeColor="text1"/>
          <w:sz w:val="24"/>
          <w:szCs w:val="24"/>
          <w14:textFill>
            <w14:solidFill>
              <w14:schemeClr w14:val="tx1"/>
            </w14:solidFill>
          </w14:textFill>
        </w:rPr>
        <w:t xml:space="preserve">  </w:t>
      </w:r>
    </w:p>
    <w:p>
      <w:pPr>
        <w:pStyle w:val="2"/>
        <w:pageBreakBefore w:val="0"/>
        <w:kinsoku/>
        <w:wordWrap/>
        <w:overflowPunct/>
        <w:topLinePunct w:val="0"/>
        <w:autoSpaceDE/>
        <w:autoSpaceDN/>
        <w:bidi w:val="0"/>
        <w:adjustRightInd/>
        <w:snapToGrid/>
        <w:spacing w:beforeLines="50" w:afterLines="50" w:line="420" w:lineRule="exact"/>
        <w:ind w:firstLine="361" w:firstLineChars="150"/>
        <w:textAlignment w:val="auto"/>
        <w:rPr>
          <w:rFonts w:ascii="宋体"/>
          <w:color w:val="000000" w:themeColor="text1"/>
          <w:sz w:val="24"/>
          <w:szCs w:val="24"/>
          <w14:textFill>
            <w14:solidFill>
              <w14:schemeClr w14:val="tx1"/>
            </w14:solidFill>
          </w14:textFill>
        </w:rPr>
      </w:pPr>
      <w:bookmarkStart w:id="122" w:name="_Toc120614219"/>
      <w:r>
        <w:rPr>
          <w:rFonts w:hint="eastAsia" w:ascii="宋体" w:hAnsi="宋体"/>
          <w:color w:val="000000" w:themeColor="text1"/>
          <w:sz w:val="24"/>
          <w:szCs w:val="24"/>
          <w14:textFill>
            <w14:solidFill>
              <w14:schemeClr w14:val="tx1"/>
            </w14:solidFill>
          </w14:textFill>
        </w:rPr>
        <w:t>六、</w:t>
      </w:r>
      <w:bookmarkEnd w:id="119"/>
      <w:bookmarkEnd w:id="120"/>
      <w:bookmarkEnd w:id="121"/>
      <w:r>
        <w:rPr>
          <w:rFonts w:hint="eastAsia" w:ascii="宋体" w:hAnsi="宋体"/>
          <w:color w:val="000000" w:themeColor="text1"/>
          <w:sz w:val="24"/>
          <w:szCs w:val="24"/>
          <w14:textFill>
            <w14:solidFill>
              <w14:schemeClr w14:val="tx1"/>
            </w14:solidFill>
          </w14:textFill>
        </w:rPr>
        <w:t>定标</w:t>
      </w:r>
      <w:bookmarkEnd w:id="122"/>
    </w:p>
    <w:p>
      <w:pPr>
        <w:pStyle w:val="6"/>
        <w:pageBreakBefore w:val="0"/>
        <w:kinsoku/>
        <w:wordWrap/>
        <w:overflowPunct/>
        <w:topLinePunct w:val="0"/>
        <w:autoSpaceDE/>
        <w:autoSpaceDN/>
        <w:bidi w:val="0"/>
        <w:adjustRightInd/>
        <w:snapToGrid/>
        <w:spacing w:before="0" w:after="0" w:line="420" w:lineRule="exact"/>
        <w:ind w:firstLine="482" w:firstLineChars="200"/>
        <w:textAlignment w:val="auto"/>
        <w:rPr>
          <w:rFonts w:ascii="宋体" w:hAnsi="宋体" w:eastAsia="宋体" w:cs="Times New Roman"/>
          <w:bCs w:val="0"/>
          <w:color w:val="000000" w:themeColor="text1"/>
          <w:sz w:val="24"/>
          <w:szCs w:val="24"/>
          <w14:textFill>
            <w14:solidFill>
              <w14:schemeClr w14:val="tx1"/>
            </w14:solidFill>
          </w14:textFill>
        </w:rPr>
      </w:pPr>
      <w:bookmarkStart w:id="123" w:name="_Toc513029238"/>
      <w:bookmarkStart w:id="124" w:name="_Toc20823310"/>
      <w:bookmarkStart w:id="125" w:name="_Toc16938554"/>
      <w:r>
        <w:rPr>
          <w:rFonts w:hint="eastAsia" w:ascii="宋体" w:hAnsi="宋体" w:eastAsia="宋体" w:cs="Times New Roman"/>
          <w:bCs w:val="0"/>
          <w:color w:val="000000" w:themeColor="text1"/>
          <w:sz w:val="24"/>
          <w:szCs w:val="24"/>
          <w:lang w:val="en-US" w:eastAsia="zh-CN"/>
          <w14:textFill>
            <w14:solidFill>
              <w14:schemeClr w14:val="tx1"/>
            </w14:solidFill>
          </w14:textFill>
        </w:rPr>
        <w:t>27</w:t>
      </w:r>
      <w:r>
        <w:rPr>
          <w:rFonts w:hint="eastAsia" w:ascii="宋体" w:hAnsi="宋体" w:eastAsia="宋体" w:cs="Times New Roman"/>
          <w:bCs w:val="0"/>
          <w:color w:val="000000" w:themeColor="text1"/>
          <w:sz w:val="24"/>
          <w:szCs w:val="24"/>
          <w14:textFill>
            <w14:solidFill>
              <w14:schemeClr w14:val="tx1"/>
            </w14:solidFill>
          </w14:textFill>
        </w:rPr>
        <w:t>、</w:t>
      </w:r>
      <w:bookmarkEnd w:id="123"/>
      <w:r>
        <w:rPr>
          <w:rFonts w:hint="eastAsia" w:ascii="宋体" w:hAnsi="宋体" w:eastAsia="宋体" w:cs="Times New Roman"/>
          <w:bCs w:val="0"/>
          <w:color w:val="000000" w:themeColor="text1"/>
          <w:sz w:val="24"/>
          <w:szCs w:val="24"/>
          <w14:textFill>
            <w14:solidFill>
              <w14:schemeClr w14:val="tx1"/>
            </w14:solidFill>
          </w14:textFill>
        </w:rPr>
        <w:t>确定</w:t>
      </w:r>
      <w:bookmarkEnd w:id="124"/>
      <w:bookmarkEnd w:id="125"/>
      <w:r>
        <w:rPr>
          <w:rFonts w:hint="eastAsia" w:ascii="宋体" w:hAnsi="宋体" w:eastAsia="宋体" w:cs="Times New Roman"/>
          <w:bCs w:val="0"/>
          <w:color w:val="000000" w:themeColor="text1"/>
          <w:sz w:val="24"/>
          <w:szCs w:val="24"/>
          <w14:textFill>
            <w14:solidFill>
              <w14:schemeClr w14:val="tx1"/>
            </w14:solidFill>
          </w14:textFill>
        </w:rPr>
        <w:t>中标人</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27</w:t>
      </w: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评标委员会根据本招标文件规定评标方法与评标标准确定中标候选人名单。</w:t>
      </w:r>
    </w:p>
    <w:p>
      <w:pPr>
        <w:pStyle w:val="16"/>
        <w:numPr>
          <w:ilvl w:val="0"/>
          <w:numId w:val="3"/>
        </w:numPr>
        <w:ind w:firstLine="482" w:firstLineChars="200"/>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履约保证金</w:t>
      </w:r>
    </w:p>
    <w:p>
      <w:pPr>
        <w:spacing w:line="500" w:lineRule="exact"/>
        <w:ind w:firstLine="360" w:firstLineChars="150"/>
        <w:rPr>
          <w:rFonts w:hint="default" w:ascii="宋体" w:hAnsi="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28.1中标价的10%。签订合同前缴纳给采购人，项目结束后无息退还。</w:t>
      </w:r>
    </w:p>
    <w:p>
      <w:pPr>
        <w:spacing w:line="500" w:lineRule="exact"/>
        <w:ind w:firstLine="361" w:firstLineChars="150"/>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bCs w:val="0"/>
          <w:color w:val="000000" w:themeColor="text1"/>
          <w:kern w:val="2"/>
          <w:sz w:val="24"/>
          <w:szCs w:val="24"/>
          <w:lang w:val="en-US" w:eastAsia="zh-CN" w:bidi="ar-SA"/>
          <w14:textFill>
            <w14:solidFill>
              <w14:schemeClr w14:val="tx1"/>
            </w14:solidFill>
          </w14:textFill>
        </w:rPr>
        <w:t>八、招标代理费</w:t>
      </w:r>
    </w:p>
    <w:p>
      <w:pPr>
        <w:spacing w:line="500" w:lineRule="exact"/>
        <w:ind w:firstLine="360" w:firstLineChars="150"/>
        <w:rPr>
          <w:rFonts w:hint="default" w:ascii="宋体" w:hAnsi="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29.1本项目招标代理费5000元，由中标单位在领取中标通知书之前缴纳给招标代理公司。</w:t>
      </w:r>
    </w:p>
    <w:p>
      <w:pPr>
        <w:numPr>
          <w:ilvl w:val="0"/>
          <w:numId w:val="0"/>
        </w:numPr>
        <w:rPr>
          <w:rFonts w:hint="default"/>
          <w:lang w:val="en-US" w:eastAsia="zh-CN"/>
        </w:rPr>
      </w:pPr>
    </w:p>
    <w:p>
      <w:pPr>
        <w:pStyle w:val="16"/>
        <w:rPr>
          <w:rFonts w:hint="eastAsia" w:ascii="宋体" w:hAnsi="宋体"/>
          <w:color w:val="000000" w:themeColor="text1"/>
          <w:sz w:val="24"/>
          <w14:textFill>
            <w14:solidFill>
              <w14:schemeClr w14:val="tx1"/>
            </w14:solidFill>
          </w14:textFill>
        </w:rPr>
      </w:pPr>
      <w:bookmarkStart w:id="126" w:name="_Toc479757207"/>
      <w:bookmarkStart w:id="127" w:name="_Toc16938558"/>
      <w:bookmarkStart w:id="128" w:name="_Toc513029242"/>
      <w:bookmarkStart w:id="129" w:name="_Toc120614221"/>
      <w:bookmarkStart w:id="130" w:name="_Toc20823314"/>
    </w:p>
    <w:p>
      <w:pPr>
        <w:pStyle w:val="42"/>
        <w:rPr>
          <w:rFonts w:hint="eastAsia" w:ascii="宋体" w:hAnsi="宋体"/>
          <w:color w:val="000000" w:themeColor="text1"/>
          <w:sz w:val="24"/>
          <w14:textFill>
            <w14:solidFill>
              <w14:schemeClr w14:val="tx1"/>
            </w14:solidFill>
          </w14:textFill>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pStyle w:val="42"/>
        <w:rPr>
          <w:rFonts w:hint="eastAsia" w:eastAsia="宋体"/>
          <w:lang w:val="en-US" w:eastAsia="zh-CN"/>
        </w:rPr>
      </w:pPr>
    </w:p>
    <w:p>
      <w:pPr>
        <w:tabs>
          <w:tab w:val="left" w:pos="900"/>
        </w:tabs>
        <w:spacing w:afterLines="50" w:line="500" w:lineRule="exact"/>
        <w:ind w:firstLine="719" w:firstLineChars="199"/>
        <w:jc w:val="center"/>
        <w:rPr>
          <w:rFonts w:ascii="宋体"/>
          <w:b/>
          <w:color w:val="000000" w:themeColor="text1"/>
          <w:sz w:val="24"/>
          <w:szCs w:val="24"/>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第三章  合同条款及</w:t>
      </w:r>
      <w:bookmarkEnd w:id="126"/>
      <w:bookmarkEnd w:id="127"/>
      <w:bookmarkEnd w:id="128"/>
      <w:bookmarkEnd w:id="129"/>
      <w:bookmarkEnd w:id="130"/>
      <w:r>
        <w:rPr>
          <w:rFonts w:hint="eastAsia" w:ascii="宋体" w:hAnsi="宋体"/>
          <w:b/>
          <w:bCs/>
          <w:color w:val="000000" w:themeColor="text1"/>
          <w:sz w:val="36"/>
          <w:szCs w:val="36"/>
          <w14:textFill>
            <w14:solidFill>
              <w14:schemeClr w14:val="tx1"/>
            </w14:solidFill>
          </w14:textFill>
        </w:rPr>
        <w:t>格式</w:t>
      </w:r>
    </w:p>
    <w:p>
      <w:pPr>
        <w:spacing w:line="500" w:lineRule="exact"/>
        <w:ind w:firstLine="480" w:firstLineChars="200"/>
        <w:rPr>
          <w:rFonts w:ascii="宋体"/>
          <w:bCs/>
          <w:color w:val="000000" w:themeColor="text1"/>
          <w:sz w:val="24"/>
          <w:szCs w:val="24"/>
          <w14:textFill>
            <w14:solidFill>
              <w14:schemeClr w14:val="tx1"/>
            </w14:solidFill>
          </w14:textFill>
        </w:rPr>
      </w:pPr>
      <w:bookmarkStart w:id="131" w:name="_Toc20823315"/>
      <w:bookmarkStart w:id="132" w:name="_Toc16938559"/>
      <w:bookmarkStart w:id="133" w:name="_Toc513029243"/>
      <w:r>
        <w:rPr>
          <w:rFonts w:hint="eastAsia" w:ascii="宋体" w:hAnsi="宋体"/>
          <w:bCs/>
          <w:color w:val="000000" w:themeColor="text1"/>
          <w:sz w:val="24"/>
          <w:szCs w:val="24"/>
          <w14:textFill>
            <w14:solidFill>
              <w14:schemeClr w14:val="tx1"/>
            </w14:solidFill>
          </w14:textFill>
        </w:rPr>
        <w:t>以下为中标后签定本项目合同的通用条款，中标人不得提出实质性的修改，关于专用条款将由采购人与中标人结合本项目具体情况协商后签订。</w:t>
      </w:r>
    </w:p>
    <w:bookmarkEnd w:id="131"/>
    <w:bookmarkEnd w:id="132"/>
    <w:bookmarkEnd w:id="133"/>
    <w:p>
      <w:pPr>
        <w:snapToGrid w:val="0"/>
        <w:spacing w:beforeLines="50" w:afterLines="50" w:line="500" w:lineRule="exact"/>
        <w:jc w:val="center"/>
        <w:outlineLvl w:val="0"/>
        <w:rPr>
          <w:rFonts w:ascii="宋体"/>
          <w:b/>
          <w:bCs/>
          <w:color w:val="000000" w:themeColor="text1"/>
          <w:sz w:val="24"/>
          <w:szCs w:val="24"/>
          <w14:textFill>
            <w14:solidFill>
              <w14:schemeClr w14:val="tx1"/>
            </w14:solidFill>
          </w14:textFill>
        </w:rPr>
      </w:pPr>
      <w:bookmarkStart w:id="134" w:name="_Toc20823346"/>
      <w:bookmarkStart w:id="135" w:name="_Toc16938590"/>
      <w:bookmarkStart w:id="136" w:name="_Toc120614244"/>
      <w:bookmarkStart w:id="137" w:name="_Toc49090575"/>
      <w:bookmarkStart w:id="138" w:name="_Toc26554093"/>
      <w:bookmarkStart w:id="139" w:name="_Toc120614281"/>
      <w:bookmarkStart w:id="140" w:name="_Toc462564139"/>
      <w:bookmarkStart w:id="141" w:name="_Toc479757211"/>
      <w:r>
        <w:rPr>
          <w:rFonts w:hint="eastAsia" w:ascii="宋体" w:hAnsi="宋体"/>
          <w:b/>
          <w:color w:val="000000" w:themeColor="text1"/>
          <w:sz w:val="24"/>
          <w:szCs w:val="24"/>
          <w14:textFill>
            <w14:solidFill>
              <w14:schemeClr w14:val="tx1"/>
            </w14:solidFill>
          </w14:textFill>
        </w:rPr>
        <w:t>政府采购合同（</w:t>
      </w:r>
      <w:r>
        <w:rPr>
          <w:rFonts w:hint="eastAsia" w:ascii="宋体" w:hAnsi="宋体"/>
          <w:b/>
          <w:sz w:val="24"/>
          <w:szCs w:val="24"/>
        </w:rPr>
        <w:t>货物</w:t>
      </w:r>
      <w:r>
        <w:rPr>
          <w:rFonts w:hint="eastAsia" w:ascii="宋体" w:hAnsi="宋体"/>
          <w:b/>
          <w:color w:val="000000" w:themeColor="text1"/>
          <w:sz w:val="24"/>
          <w:szCs w:val="24"/>
          <w14:textFill>
            <w14:solidFill>
              <w14:schemeClr w14:val="tx1"/>
            </w14:solidFill>
          </w14:textFill>
        </w:rPr>
        <w:t>）</w:t>
      </w:r>
    </w:p>
    <w:p>
      <w:pPr>
        <w:pStyle w:val="20"/>
        <w:snapToGrid w:val="0"/>
        <w:spacing w:before="120" w:after="120" w:line="500" w:lineRule="exact"/>
        <w:jc w:val="left"/>
        <w:rPr>
          <w:rFonts w:hint="eastAsia" w:hAnsi="宋体" w:eastAsia="宋体"/>
          <w:color w:val="000000" w:themeColor="text1"/>
          <w:sz w:val="24"/>
          <w:szCs w:val="24"/>
          <w:lang w:eastAsia="zh-CN"/>
          <w14:textFill>
            <w14:solidFill>
              <w14:schemeClr w14:val="tx1"/>
            </w14:solidFill>
          </w14:textFill>
        </w:rPr>
      </w:pPr>
      <w:r>
        <w:rPr>
          <w:rFonts w:hint="eastAsia" w:hAnsi="宋体"/>
          <w:color w:val="000000" w:themeColor="text1"/>
          <w:sz w:val="24"/>
          <w:szCs w:val="24"/>
          <w14:textFill>
            <w14:solidFill>
              <w14:schemeClr w14:val="tx1"/>
            </w14:solidFill>
          </w14:textFill>
        </w:rPr>
        <w:t>项目名称：</w:t>
      </w:r>
      <w:r>
        <w:rPr>
          <w:rFonts w:hint="eastAsia" w:hAnsi="宋体"/>
          <w:color w:val="000000" w:themeColor="text1"/>
          <w:sz w:val="24"/>
          <w:szCs w:val="24"/>
          <w:lang w:eastAsia="zh-CN"/>
          <w14:textFill>
            <w14:solidFill>
              <w14:schemeClr w14:val="tx1"/>
            </w14:solidFill>
          </w14:textFill>
        </w:rPr>
        <w:t>龙冈消防站彩色喷泉工程设备采购项目</w:t>
      </w:r>
    </w:p>
    <w:p>
      <w:pPr>
        <w:pStyle w:val="20"/>
        <w:snapToGrid w:val="0"/>
        <w:spacing w:before="120" w:after="120" w:line="500" w:lineRule="exac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甲方：（采购方）</w:t>
      </w:r>
      <w:r>
        <w:rPr>
          <w:rFonts w:hint="eastAsia" w:hAnsi="宋体"/>
          <w:color w:val="000000" w:themeColor="text1"/>
          <w:sz w:val="24"/>
          <w:szCs w:val="24"/>
          <w:u w:val="single"/>
          <w14:textFill>
            <w14:solidFill>
              <w14:schemeClr w14:val="tx1"/>
            </w14:solidFill>
          </w14:textFill>
        </w:rPr>
        <w:t>盐城市盐都区国有资产投资经营有限公司</w:t>
      </w:r>
    </w:p>
    <w:p>
      <w:pPr>
        <w:pStyle w:val="20"/>
        <w:snapToGrid w:val="0"/>
        <w:spacing w:before="120" w:after="120" w:line="500" w:lineRule="exac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乙方：（供货商）</w:t>
      </w:r>
      <w:r>
        <w:rPr>
          <w:rFonts w:hint="eastAsia" w:hAnsi="宋体"/>
          <w:color w:val="000000" w:themeColor="text1"/>
          <w:sz w:val="24"/>
          <w:szCs w:val="24"/>
          <w:u w:val="single"/>
          <w14:textFill>
            <w14:solidFill>
              <w14:schemeClr w14:val="tx1"/>
            </w14:solidFill>
          </w14:textFill>
        </w:rPr>
        <w:t>　　　　　　　　　　　　</w:t>
      </w:r>
      <w:r>
        <w:rPr>
          <w:rFonts w:hint="eastAsia" w:hAnsi="宋体"/>
          <w:color w:val="000000" w:themeColor="text1"/>
          <w:sz w:val="24"/>
          <w:szCs w:val="24"/>
          <w14:textFill>
            <w14:solidFill>
              <w14:schemeClr w14:val="tx1"/>
            </w14:solidFill>
          </w14:textFill>
        </w:rPr>
        <w:t>　　</w:t>
      </w:r>
    </w:p>
    <w:p>
      <w:pPr>
        <w:pStyle w:val="20"/>
        <w:snapToGrid w:val="0"/>
        <w:spacing w:before="120" w:after="120" w:line="500" w:lineRule="exact"/>
      </w:pPr>
      <w:r>
        <w:rPr>
          <w:rFonts w:hint="eastAsia" w:hAnsi="宋体"/>
          <w:color w:val="000000" w:themeColor="text1"/>
          <w:sz w:val="24"/>
          <w:szCs w:val="24"/>
          <w14:textFill>
            <w14:solidFill>
              <w14:schemeClr w14:val="tx1"/>
            </w14:solidFill>
          </w14:textFill>
        </w:rPr>
        <w:t xml:space="preserve">甲、乙双方根据 </w:t>
      </w:r>
      <w:r>
        <w:rPr>
          <w:rFonts w:hint="eastAsia" w:hAnsi="宋体"/>
          <w:color w:val="000000" w:themeColor="text1"/>
          <w:sz w:val="24"/>
          <w:szCs w:val="24"/>
          <w:u w:val="single"/>
          <w:lang w:eastAsia="zh-CN"/>
          <w14:textFill>
            <w14:solidFill>
              <w14:schemeClr w14:val="tx1"/>
            </w14:solidFill>
          </w14:textFill>
        </w:rPr>
        <w:t>龙冈消防站彩色喷泉工程设备采购项目</w:t>
      </w:r>
      <w:r>
        <w:rPr>
          <w:rFonts w:hint="eastAsia" w:hAnsi="宋体"/>
          <w:color w:val="000000" w:themeColor="text1"/>
          <w:sz w:val="24"/>
          <w:szCs w:val="24"/>
          <w14:textFill>
            <w14:solidFill>
              <w14:schemeClr w14:val="tx1"/>
            </w14:solidFill>
          </w14:textFill>
        </w:rPr>
        <w:t>公开招标的结果，签署本合同。</w:t>
      </w:r>
    </w:p>
    <w:p>
      <w:pPr>
        <w:pStyle w:val="20"/>
        <w:snapToGrid w:val="0"/>
        <w:spacing w:before="120" w:after="120" w:line="500" w:lineRule="exact"/>
        <w:rPr>
          <w:rFonts w:hAnsi="宋体"/>
          <w:b/>
          <w:color w:val="000000"/>
          <w:sz w:val="24"/>
          <w:szCs w:val="24"/>
        </w:rPr>
      </w:pPr>
      <w:r>
        <w:rPr>
          <w:rFonts w:hint="eastAsia" w:hAnsi="宋体"/>
          <w:b/>
          <w:color w:val="000000"/>
          <w:sz w:val="24"/>
          <w:szCs w:val="24"/>
        </w:rPr>
        <w:t>一、服务内容</w:t>
      </w:r>
    </w:p>
    <w:p>
      <w:pPr>
        <w:pStyle w:val="20"/>
        <w:snapToGrid w:val="0"/>
        <w:spacing w:before="120" w:after="120" w:line="500" w:lineRule="exact"/>
        <w:rPr>
          <w:rFonts w:hint="eastAsia" w:hAnsi="宋体" w:eastAsia="宋体"/>
          <w:color w:val="000000" w:themeColor="text1"/>
          <w:sz w:val="24"/>
          <w:szCs w:val="24"/>
          <w:u w:val="single"/>
          <w:lang w:eastAsia="zh-CN"/>
          <w14:textFill>
            <w14:solidFill>
              <w14:schemeClr w14:val="tx1"/>
            </w14:solidFill>
          </w14:textFill>
        </w:rPr>
      </w:pPr>
      <w:r>
        <w:rPr>
          <w:rFonts w:hAnsi="宋体"/>
          <w:color w:val="000000"/>
          <w:sz w:val="24"/>
          <w:szCs w:val="24"/>
        </w:rPr>
        <w:t xml:space="preserve">1.1 </w:t>
      </w:r>
      <w:r>
        <w:rPr>
          <w:rFonts w:hint="eastAsia" w:hAnsi="宋体"/>
          <w:color w:val="000000"/>
          <w:sz w:val="24"/>
          <w:szCs w:val="24"/>
        </w:rPr>
        <w:t>项目名称：</w:t>
      </w:r>
      <w:r>
        <w:rPr>
          <w:rFonts w:hint="eastAsia" w:hAnsi="宋体"/>
          <w:color w:val="000000" w:themeColor="text1"/>
          <w:sz w:val="24"/>
          <w:szCs w:val="24"/>
          <w:u w:val="single"/>
          <w:lang w:eastAsia="zh-CN"/>
          <w14:textFill>
            <w14:solidFill>
              <w14:schemeClr w14:val="tx1"/>
            </w14:solidFill>
          </w14:textFill>
        </w:rPr>
        <w:t>龙冈消防站彩色喷泉工程设备采购项目</w:t>
      </w:r>
    </w:p>
    <w:p>
      <w:pPr>
        <w:pStyle w:val="20"/>
        <w:snapToGrid w:val="0"/>
        <w:spacing w:before="120" w:after="120" w:line="500" w:lineRule="exact"/>
        <w:rPr>
          <w:rFonts w:hAnsi="宋体"/>
          <w:color w:val="000000"/>
          <w:sz w:val="24"/>
          <w:szCs w:val="24"/>
        </w:rPr>
      </w:pPr>
      <w:r>
        <w:rPr>
          <w:rFonts w:hAnsi="宋体"/>
          <w:color w:val="000000"/>
          <w:sz w:val="24"/>
          <w:szCs w:val="24"/>
        </w:rPr>
        <w:t xml:space="preserve">1.2 </w:t>
      </w:r>
      <w:r>
        <w:rPr>
          <w:rFonts w:hint="eastAsia" w:hAnsi="宋体"/>
          <w:color w:val="000000"/>
          <w:sz w:val="24"/>
          <w:szCs w:val="24"/>
        </w:rPr>
        <w:t>型号规格：</w:t>
      </w:r>
      <w:r>
        <w:rPr>
          <w:rFonts w:hint="eastAsia" w:hAnsi="宋体"/>
          <w:sz w:val="24"/>
          <w:szCs w:val="24"/>
          <w:u w:val="single"/>
        </w:rPr>
        <w:t>详见报价清单。</w:t>
      </w:r>
    </w:p>
    <w:p>
      <w:pPr>
        <w:pStyle w:val="20"/>
        <w:snapToGrid w:val="0"/>
        <w:spacing w:before="120" w:after="120" w:line="500" w:lineRule="exact"/>
      </w:pPr>
      <w:r>
        <w:rPr>
          <w:rFonts w:hAnsi="宋体"/>
          <w:color w:val="000000"/>
          <w:sz w:val="24"/>
          <w:szCs w:val="24"/>
        </w:rPr>
        <w:t xml:space="preserve">1.3 </w:t>
      </w:r>
      <w:r>
        <w:rPr>
          <w:rFonts w:hint="eastAsia" w:hAnsi="宋体"/>
          <w:color w:val="000000"/>
          <w:sz w:val="24"/>
          <w:szCs w:val="24"/>
        </w:rPr>
        <w:t>数量（单位）：</w:t>
      </w:r>
      <w:r>
        <w:rPr>
          <w:rFonts w:hint="eastAsia" w:hAnsi="宋体"/>
          <w:sz w:val="24"/>
          <w:szCs w:val="24"/>
          <w:u w:val="single"/>
        </w:rPr>
        <w:t>详见报价清单。</w:t>
      </w:r>
    </w:p>
    <w:p>
      <w:pPr>
        <w:pStyle w:val="20"/>
        <w:snapToGrid w:val="0"/>
        <w:spacing w:before="120" w:after="120" w:line="500" w:lineRule="exact"/>
        <w:rPr>
          <w:rFonts w:hAnsi="宋体"/>
          <w:b/>
          <w:color w:val="000000"/>
          <w:sz w:val="24"/>
          <w:szCs w:val="24"/>
        </w:rPr>
      </w:pPr>
      <w:r>
        <w:rPr>
          <w:rFonts w:hint="eastAsia" w:hAnsi="宋体"/>
          <w:b/>
          <w:color w:val="000000"/>
          <w:sz w:val="24"/>
          <w:szCs w:val="24"/>
        </w:rPr>
        <w:t>二、合同金额</w:t>
      </w:r>
    </w:p>
    <w:p>
      <w:pPr>
        <w:pStyle w:val="20"/>
        <w:snapToGrid w:val="0"/>
        <w:spacing w:before="120" w:after="120" w:line="500" w:lineRule="exact"/>
        <w:ind w:left="410" w:hanging="410" w:hangingChars="171"/>
        <w:rPr>
          <w:rFonts w:hAnsi="宋体"/>
          <w:color w:val="000000"/>
          <w:sz w:val="24"/>
          <w:szCs w:val="24"/>
        </w:rPr>
      </w:pPr>
      <w:r>
        <w:rPr>
          <w:rFonts w:hAnsi="宋体"/>
          <w:color w:val="000000"/>
          <w:sz w:val="24"/>
          <w:szCs w:val="24"/>
        </w:rPr>
        <w:t xml:space="preserve">2.1 </w:t>
      </w:r>
      <w:r>
        <w:rPr>
          <w:rFonts w:hint="eastAsia" w:hAnsi="宋体"/>
          <w:color w:val="000000"/>
          <w:sz w:val="24"/>
          <w:szCs w:val="24"/>
        </w:rPr>
        <w:t>本合同金额为人民币（大写）：</w:t>
      </w:r>
      <w:r>
        <w:rPr>
          <w:rFonts w:hAnsi="宋体"/>
          <w:color w:val="000000"/>
          <w:sz w:val="24"/>
          <w:szCs w:val="24"/>
        </w:rPr>
        <w:t>_____________________</w:t>
      </w:r>
      <w:r>
        <w:rPr>
          <w:rFonts w:hint="eastAsia" w:hAnsi="宋体"/>
          <w:color w:val="000000"/>
          <w:sz w:val="24"/>
          <w:szCs w:val="24"/>
        </w:rPr>
        <w:t>元（</w:t>
      </w:r>
      <w:r>
        <w:rPr>
          <w:rFonts w:hint="eastAsia" w:ascii="新宋体" w:hAnsi="新宋体" w:eastAsia="新宋体"/>
          <w:sz w:val="24"/>
        </w:rPr>
        <w:t>￥</w:t>
      </w:r>
      <w:r>
        <w:rPr>
          <w:rFonts w:hAnsi="宋体"/>
          <w:color w:val="000000"/>
          <w:sz w:val="24"/>
          <w:szCs w:val="24"/>
        </w:rPr>
        <w:t>_______</w:t>
      </w:r>
      <w:r>
        <w:rPr>
          <w:rFonts w:hint="eastAsia" w:hAnsi="宋体"/>
          <w:color w:val="000000"/>
          <w:sz w:val="24"/>
          <w:szCs w:val="24"/>
        </w:rPr>
        <w:t>元）。</w:t>
      </w:r>
    </w:p>
    <w:p>
      <w:pPr>
        <w:pStyle w:val="20"/>
        <w:snapToGrid w:val="0"/>
        <w:spacing w:before="120" w:after="120" w:line="500" w:lineRule="exact"/>
        <w:rPr>
          <w:rFonts w:hAnsi="宋体"/>
          <w:b/>
          <w:color w:val="000000"/>
          <w:sz w:val="24"/>
          <w:szCs w:val="24"/>
        </w:rPr>
      </w:pPr>
      <w:r>
        <w:rPr>
          <w:rFonts w:hint="eastAsia" w:hAnsi="宋体"/>
          <w:b/>
          <w:color w:val="000000"/>
          <w:sz w:val="24"/>
          <w:szCs w:val="24"/>
        </w:rPr>
        <w:t>三、技术资料</w:t>
      </w:r>
    </w:p>
    <w:p>
      <w:pPr>
        <w:pStyle w:val="20"/>
        <w:snapToGrid w:val="0"/>
        <w:spacing w:before="120" w:after="120" w:line="500" w:lineRule="exact"/>
        <w:ind w:left="410" w:hanging="410" w:hangingChars="171"/>
        <w:rPr>
          <w:rFonts w:hAnsi="宋体"/>
          <w:color w:val="000000"/>
          <w:sz w:val="24"/>
          <w:szCs w:val="24"/>
        </w:rPr>
      </w:pPr>
      <w:r>
        <w:rPr>
          <w:rFonts w:hAnsi="宋体"/>
          <w:color w:val="000000"/>
          <w:sz w:val="24"/>
          <w:szCs w:val="24"/>
        </w:rPr>
        <w:t>3.1</w:t>
      </w:r>
      <w:r>
        <w:rPr>
          <w:rFonts w:hint="eastAsia" w:hAnsi="宋体"/>
          <w:color w:val="000000"/>
          <w:sz w:val="24"/>
          <w:szCs w:val="24"/>
        </w:rPr>
        <w:t>乙方应按招标文件规定的时间向甲方提供使用货物的有关技术资料。</w:t>
      </w:r>
    </w:p>
    <w:p>
      <w:pPr>
        <w:pStyle w:val="20"/>
        <w:snapToGrid w:val="0"/>
        <w:spacing w:before="120" w:after="120" w:line="500" w:lineRule="exact"/>
        <w:rPr>
          <w:rFonts w:hAnsi="宋体"/>
          <w:color w:val="000000"/>
          <w:sz w:val="24"/>
          <w:szCs w:val="24"/>
        </w:rPr>
      </w:pPr>
      <w:r>
        <w:rPr>
          <w:rFonts w:hAnsi="宋体"/>
          <w:color w:val="000000"/>
          <w:sz w:val="24"/>
          <w:szCs w:val="24"/>
        </w:rPr>
        <w:t xml:space="preserve">3.2 </w:t>
      </w:r>
      <w:r>
        <w:rPr>
          <w:rFonts w:hint="eastAsia" w:hAnsi="宋体"/>
          <w:color w:val="000000"/>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0"/>
        <w:snapToGrid w:val="0"/>
        <w:spacing w:before="120" w:after="120" w:line="500" w:lineRule="exact"/>
        <w:ind w:left="412" w:hanging="412" w:hangingChars="171"/>
        <w:rPr>
          <w:rFonts w:hAnsi="宋体"/>
          <w:b/>
          <w:color w:val="000000"/>
          <w:sz w:val="24"/>
          <w:szCs w:val="24"/>
        </w:rPr>
      </w:pPr>
      <w:r>
        <w:rPr>
          <w:rFonts w:hint="eastAsia" w:hAnsi="宋体"/>
          <w:b/>
          <w:color w:val="000000"/>
          <w:sz w:val="24"/>
          <w:szCs w:val="24"/>
        </w:rPr>
        <w:t>四、知识产权</w:t>
      </w:r>
    </w:p>
    <w:p>
      <w:pPr>
        <w:spacing w:line="500" w:lineRule="exact"/>
        <w:rPr>
          <w:rFonts w:ascii="宋体"/>
          <w:color w:val="000000"/>
          <w:sz w:val="24"/>
          <w:szCs w:val="24"/>
        </w:rPr>
      </w:pPr>
      <w:r>
        <w:rPr>
          <w:rFonts w:ascii="宋体" w:hAnsi="宋体"/>
          <w:color w:val="000000"/>
          <w:sz w:val="24"/>
          <w:szCs w:val="24"/>
        </w:rPr>
        <w:t>4.1</w:t>
      </w:r>
      <w:r>
        <w:rPr>
          <w:rFonts w:hint="eastAsia" w:ascii="宋体" w:hAnsi="宋体"/>
          <w:color w:val="000000"/>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20"/>
        <w:snapToGrid w:val="0"/>
        <w:spacing w:before="120" w:after="120" w:line="500" w:lineRule="exact"/>
        <w:rPr>
          <w:rFonts w:hAnsi="宋体"/>
          <w:color w:val="000000"/>
          <w:sz w:val="24"/>
          <w:szCs w:val="24"/>
          <w:u w:val="single"/>
        </w:rPr>
      </w:pPr>
      <w:r>
        <w:rPr>
          <w:rFonts w:hint="eastAsia" w:hAnsi="宋体"/>
          <w:b/>
          <w:color w:val="000000"/>
          <w:sz w:val="24"/>
          <w:szCs w:val="24"/>
        </w:rPr>
        <w:t>五、产权担保</w:t>
      </w:r>
    </w:p>
    <w:p>
      <w:pPr>
        <w:pStyle w:val="20"/>
        <w:snapToGrid w:val="0"/>
        <w:spacing w:before="120" w:after="120" w:line="500" w:lineRule="exact"/>
        <w:ind w:left="408" w:hanging="408" w:hangingChars="170"/>
        <w:rPr>
          <w:rFonts w:hAnsi="宋体"/>
          <w:color w:val="000000"/>
          <w:sz w:val="24"/>
          <w:szCs w:val="24"/>
          <w:u w:val="single"/>
        </w:rPr>
      </w:pPr>
      <w:r>
        <w:rPr>
          <w:rFonts w:hAnsi="宋体"/>
          <w:color w:val="000000"/>
          <w:sz w:val="24"/>
          <w:szCs w:val="24"/>
        </w:rPr>
        <w:t xml:space="preserve">5.1 </w:t>
      </w:r>
      <w:r>
        <w:rPr>
          <w:rFonts w:hint="eastAsia" w:hAnsi="宋体"/>
          <w:color w:val="000000"/>
          <w:sz w:val="24"/>
          <w:szCs w:val="24"/>
        </w:rPr>
        <w:t>乙方保证所交付的货物的所有权完全属于乙方且无任何抵押、查封等产权瑕疵。</w:t>
      </w:r>
    </w:p>
    <w:p>
      <w:pPr>
        <w:pStyle w:val="20"/>
        <w:snapToGrid w:val="0"/>
        <w:spacing w:before="120" w:after="120" w:line="500" w:lineRule="exact"/>
        <w:ind w:left="410" w:hanging="410" w:hangingChars="170"/>
        <w:rPr>
          <w:rFonts w:hAnsi="宋体"/>
          <w:b/>
          <w:color w:val="000000"/>
          <w:sz w:val="24"/>
          <w:szCs w:val="24"/>
        </w:rPr>
      </w:pPr>
      <w:r>
        <w:rPr>
          <w:rFonts w:hint="eastAsia" w:hAnsi="宋体"/>
          <w:b/>
          <w:color w:val="000000"/>
          <w:sz w:val="24"/>
          <w:szCs w:val="24"/>
        </w:rPr>
        <w:t>六、履约保证金</w:t>
      </w:r>
    </w:p>
    <w:p>
      <w:pPr>
        <w:pStyle w:val="20"/>
        <w:snapToGrid w:val="0"/>
        <w:spacing w:before="120" w:after="120" w:line="500" w:lineRule="exact"/>
        <w:rPr>
          <w:rFonts w:hAnsi="宋体"/>
          <w:color w:val="000000"/>
          <w:sz w:val="24"/>
          <w:szCs w:val="24"/>
        </w:rPr>
      </w:pPr>
      <w:r>
        <w:rPr>
          <w:rFonts w:hAnsi="宋体"/>
          <w:color w:val="000000"/>
          <w:sz w:val="24"/>
          <w:szCs w:val="24"/>
        </w:rPr>
        <w:t>6.1</w:t>
      </w:r>
      <w:r>
        <w:rPr>
          <w:rFonts w:hint="eastAsia" w:hAnsi="宋体"/>
          <w:color w:val="000000"/>
          <w:sz w:val="24"/>
          <w:szCs w:val="24"/>
        </w:rPr>
        <w:t>乙方交纳合同价的10%作为本合同的履约保证金。</w:t>
      </w:r>
    </w:p>
    <w:p>
      <w:pPr>
        <w:snapToGrid w:val="0"/>
        <w:spacing w:beforeLines="50" w:afterLines="50" w:line="500" w:lineRule="exact"/>
        <w:rPr>
          <w:rFonts w:ascii="宋体"/>
          <w:b/>
          <w:color w:val="000000"/>
          <w:sz w:val="24"/>
          <w:szCs w:val="24"/>
        </w:rPr>
      </w:pPr>
      <w:r>
        <w:rPr>
          <w:rFonts w:hint="eastAsia" w:ascii="宋体" w:hAnsi="宋体"/>
          <w:b/>
          <w:color w:val="000000"/>
          <w:sz w:val="24"/>
          <w:szCs w:val="24"/>
        </w:rPr>
        <w:t>七、转包或分包</w:t>
      </w:r>
    </w:p>
    <w:p>
      <w:pPr>
        <w:snapToGrid w:val="0"/>
        <w:spacing w:beforeLines="50" w:afterLines="50" w:line="500" w:lineRule="exact"/>
        <w:rPr>
          <w:rFonts w:ascii="宋体"/>
          <w:color w:val="000000"/>
          <w:sz w:val="24"/>
          <w:szCs w:val="24"/>
        </w:rPr>
      </w:pPr>
      <w:r>
        <w:rPr>
          <w:rFonts w:ascii="宋体" w:hAnsi="宋体"/>
          <w:color w:val="000000"/>
          <w:sz w:val="24"/>
          <w:szCs w:val="24"/>
        </w:rPr>
        <w:t>7.1</w:t>
      </w:r>
      <w:r>
        <w:rPr>
          <w:rFonts w:hint="eastAsia" w:ascii="宋体" w:hAnsi="宋体"/>
          <w:color w:val="000000"/>
          <w:sz w:val="24"/>
          <w:szCs w:val="24"/>
        </w:rPr>
        <w:t>本合同范围的货物，应由乙方直接供应，不得转让他人供应；</w:t>
      </w:r>
    </w:p>
    <w:p>
      <w:pPr>
        <w:snapToGrid w:val="0"/>
        <w:spacing w:beforeLines="50" w:afterLines="50" w:line="500" w:lineRule="exact"/>
        <w:rPr>
          <w:rFonts w:ascii="宋体"/>
          <w:color w:val="000000"/>
          <w:sz w:val="24"/>
          <w:szCs w:val="24"/>
        </w:rPr>
      </w:pPr>
      <w:r>
        <w:rPr>
          <w:rFonts w:ascii="宋体" w:hAnsi="宋体"/>
          <w:color w:val="000000"/>
          <w:sz w:val="24"/>
          <w:szCs w:val="24"/>
        </w:rPr>
        <w:t xml:space="preserve">7.2 </w:t>
      </w:r>
      <w:r>
        <w:rPr>
          <w:rFonts w:hint="eastAsia" w:ascii="宋体" w:hAnsi="宋体"/>
          <w:color w:val="000000"/>
          <w:sz w:val="24"/>
          <w:szCs w:val="24"/>
        </w:rPr>
        <w:t>除非得到甲方的书面同意，乙方不得部分分包给他人供应。</w:t>
      </w:r>
    </w:p>
    <w:p>
      <w:pPr>
        <w:snapToGrid w:val="0"/>
        <w:spacing w:beforeLines="50" w:afterLines="50" w:line="500" w:lineRule="exact"/>
        <w:rPr>
          <w:rFonts w:ascii="宋体"/>
          <w:color w:val="000000"/>
          <w:sz w:val="24"/>
          <w:szCs w:val="24"/>
        </w:rPr>
      </w:pPr>
      <w:r>
        <w:rPr>
          <w:rFonts w:ascii="宋体" w:hAnsi="宋体"/>
          <w:color w:val="000000"/>
          <w:sz w:val="24"/>
          <w:szCs w:val="24"/>
        </w:rPr>
        <w:t>7.3</w:t>
      </w:r>
      <w:r>
        <w:rPr>
          <w:rFonts w:hint="eastAsia" w:ascii="宋体" w:hAnsi="宋体"/>
          <w:color w:val="000000"/>
          <w:sz w:val="24"/>
          <w:szCs w:val="24"/>
        </w:rPr>
        <w:t>如有转让和未经甲方同意的分包行为，甲方有权给予终止合同。</w:t>
      </w:r>
    </w:p>
    <w:p>
      <w:pPr>
        <w:pStyle w:val="20"/>
        <w:snapToGrid w:val="0"/>
        <w:spacing w:before="120" w:after="120" w:line="500" w:lineRule="exact"/>
        <w:rPr>
          <w:rFonts w:hAnsi="宋体"/>
          <w:sz w:val="24"/>
          <w:szCs w:val="24"/>
        </w:rPr>
      </w:pPr>
      <w:r>
        <w:rPr>
          <w:rFonts w:hint="eastAsia" w:hAnsi="宋体"/>
          <w:b/>
          <w:sz w:val="24"/>
          <w:szCs w:val="24"/>
        </w:rPr>
        <w:t>八、质保期</w:t>
      </w:r>
    </w:p>
    <w:p>
      <w:pPr>
        <w:pStyle w:val="20"/>
        <w:snapToGrid w:val="0"/>
        <w:spacing w:before="120" w:after="120" w:line="500" w:lineRule="exact"/>
        <w:ind w:left="410" w:hanging="410" w:hangingChars="171"/>
        <w:rPr>
          <w:rFonts w:hAnsi="宋体"/>
          <w:sz w:val="24"/>
          <w:szCs w:val="24"/>
        </w:rPr>
      </w:pPr>
      <w:r>
        <w:rPr>
          <w:rFonts w:hAnsi="宋体"/>
          <w:sz w:val="24"/>
          <w:szCs w:val="24"/>
        </w:rPr>
        <w:t xml:space="preserve">8.1 </w:t>
      </w:r>
      <w:r>
        <w:rPr>
          <w:rFonts w:hint="eastAsia" w:hAnsi="宋体"/>
          <w:sz w:val="24"/>
          <w:szCs w:val="24"/>
        </w:rPr>
        <w:t>质保期</w:t>
      </w:r>
      <w:r>
        <w:rPr>
          <w:rFonts w:hint="eastAsia" w:hAnsi="宋体"/>
          <w:sz w:val="24"/>
          <w:szCs w:val="24"/>
          <w:u w:val="single"/>
        </w:rPr>
        <w:t xml:space="preserve">   </w:t>
      </w:r>
      <w:r>
        <w:rPr>
          <w:rFonts w:hint="eastAsia" w:hAnsi="宋体"/>
          <w:sz w:val="24"/>
          <w:szCs w:val="24"/>
        </w:rPr>
        <w:t>年。（自交货验收合格之日起计）</w:t>
      </w:r>
    </w:p>
    <w:p>
      <w:pPr>
        <w:pStyle w:val="20"/>
        <w:snapToGrid w:val="0"/>
        <w:spacing w:before="120" w:after="120" w:line="500" w:lineRule="exact"/>
        <w:rPr>
          <w:rFonts w:hAnsi="宋体"/>
          <w:b/>
          <w:sz w:val="24"/>
          <w:szCs w:val="24"/>
        </w:rPr>
      </w:pPr>
      <w:r>
        <w:rPr>
          <w:rFonts w:hint="eastAsia" w:hAnsi="宋体"/>
          <w:b/>
          <w:sz w:val="24"/>
          <w:szCs w:val="24"/>
        </w:rPr>
        <w:t>九、交货期、交货方式及交货地点</w:t>
      </w:r>
    </w:p>
    <w:p>
      <w:pPr>
        <w:pStyle w:val="20"/>
        <w:snapToGrid w:val="0"/>
        <w:spacing w:before="120" w:after="120" w:line="500" w:lineRule="exact"/>
        <w:rPr>
          <w:rFonts w:hAnsi="宋体"/>
          <w:bCs/>
          <w:sz w:val="24"/>
          <w:szCs w:val="24"/>
        </w:rPr>
      </w:pPr>
      <w:r>
        <w:rPr>
          <w:rFonts w:hAnsi="宋体"/>
          <w:bCs/>
          <w:sz w:val="24"/>
          <w:szCs w:val="24"/>
        </w:rPr>
        <w:t xml:space="preserve">9.1 </w:t>
      </w:r>
      <w:r>
        <w:rPr>
          <w:rFonts w:hint="eastAsia" w:hAnsi="宋体"/>
          <w:bCs/>
          <w:sz w:val="24"/>
          <w:szCs w:val="24"/>
        </w:rPr>
        <w:t>交货期：</w:t>
      </w:r>
      <w:r>
        <w:rPr>
          <w:rFonts w:hint="eastAsia" w:hAnsi="宋体"/>
          <w:sz w:val="24"/>
          <w:szCs w:val="24"/>
          <w:u w:val="single"/>
        </w:rPr>
        <w:t>自合同签订之日起  个日历天</w:t>
      </w:r>
    </w:p>
    <w:p>
      <w:pPr>
        <w:pStyle w:val="20"/>
        <w:snapToGrid w:val="0"/>
        <w:spacing w:before="120" w:after="120" w:line="500" w:lineRule="exact"/>
        <w:rPr>
          <w:rFonts w:hAnsi="宋体"/>
          <w:bCs/>
          <w:sz w:val="24"/>
          <w:szCs w:val="24"/>
        </w:rPr>
      </w:pPr>
      <w:r>
        <w:rPr>
          <w:rFonts w:hAnsi="宋体"/>
          <w:bCs/>
          <w:sz w:val="24"/>
          <w:szCs w:val="24"/>
        </w:rPr>
        <w:t xml:space="preserve">9.2 </w:t>
      </w:r>
      <w:r>
        <w:rPr>
          <w:rFonts w:hint="eastAsia" w:hAnsi="宋体"/>
          <w:bCs/>
          <w:sz w:val="24"/>
          <w:szCs w:val="24"/>
        </w:rPr>
        <w:t>交货方式：</w:t>
      </w:r>
      <w:r>
        <w:rPr>
          <w:rFonts w:hint="eastAsia" w:hAnsi="宋体"/>
          <w:bCs/>
          <w:color w:val="000000"/>
          <w:sz w:val="24"/>
          <w:szCs w:val="24"/>
          <w:u w:val="single"/>
        </w:rPr>
        <w:t>送货到采购方指定地点并安装</w:t>
      </w:r>
      <w:r>
        <w:rPr>
          <w:rFonts w:hint="eastAsia" w:hAnsi="宋体"/>
          <w:bCs/>
          <w:color w:val="000000"/>
          <w:sz w:val="24"/>
          <w:szCs w:val="24"/>
          <w:u w:val="single"/>
          <w:lang w:val="en-US" w:eastAsia="zh-CN"/>
        </w:rPr>
        <w:t>调试</w:t>
      </w:r>
      <w:r>
        <w:rPr>
          <w:rFonts w:hint="eastAsia" w:hAnsi="宋体"/>
          <w:bCs/>
          <w:color w:val="000000"/>
          <w:sz w:val="24"/>
          <w:szCs w:val="24"/>
          <w:u w:val="single"/>
        </w:rPr>
        <w:t>到位。</w:t>
      </w:r>
    </w:p>
    <w:p>
      <w:pPr>
        <w:pStyle w:val="20"/>
        <w:snapToGrid w:val="0"/>
        <w:spacing w:before="120" w:after="120" w:line="500" w:lineRule="exact"/>
        <w:rPr>
          <w:rFonts w:hAnsi="宋体"/>
          <w:b/>
          <w:sz w:val="24"/>
          <w:szCs w:val="24"/>
        </w:rPr>
      </w:pPr>
      <w:r>
        <w:rPr>
          <w:rFonts w:hAnsi="宋体"/>
          <w:bCs/>
          <w:sz w:val="24"/>
          <w:szCs w:val="24"/>
        </w:rPr>
        <w:t xml:space="preserve">9.3 </w:t>
      </w:r>
      <w:r>
        <w:rPr>
          <w:rFonts w:hint="eastAsia" w:hAnsi="宋体"/>
          <w:bCs/>
          <w:sz w:val="24"/>
          <w:szCs w:val="24"/>
        </w:rPr>
        <w:t>交货地点：</w:t>
      </w:r>
      <w:r>
        <w:rPr>
          <w:rFonts w:hint="eastAsia" w:hAnsi="宋体"/>
          <w:bCs/>
          <w:color w:val="000000"/>
          <w:sz w:val="24"/>
          <w:szCs w:val="24"/>
          <w:u w:val="single"/>
        </w:rPr>
        <w:t>采购方指定的具体地点。</w:t>
      </w:r>
    </w:p>
    <w:p>
      <w:pPr>
        <w:pStyle w:val="20"/>
        <w:snapToGrid w:val="0"/>
        <w:spacing w:before="120" w:after="120" w:line="500" w:lineRule="exact"/>
        <w:rPr>
          <w:rFonts w:hAnsi="宋体"/>
          <w:b/>
          <w:color w:val="000000"/>
          <w:sz w:val="24"/>
          <w:szCs w:val="24"/>
        </w:rPr>
      </w:pPr>
      <w:r>
        <w:rPr>
          <w:rFonts w:hint="eastAsia" w:hAnsi="宋体"/>
          <w:b/>
          <w:color w:val="000000"/>
          <w:sz w:val="24"/>
          <w:szCs w:val="24"/>
        </w:rPr>
        <w:t>十、货款支付</w:t>
      </w:r>
    </w:p>
    <w:p>
      <w:pPr>
        <w:pStyle w:val="20"/>
        <w:snapToGrid w:val="0"/>
        <w:spacing w:before="120" w:after="120" w:line="500" w:lineRule="exact"/>
        <w:rPr>
          <w:rFonts w:hint="eastAsia" w:hAnsi="宋体"/>
          <w:bCs/>
          <w:color w:val="000000"/>
          <w:sz w:val="24"/>
          <w:szCs w:val="24"/>
          <w:u w:val="single"/>
        </w:rPr>
      </w:pPr>
      <w:r>
        <w:rPr>
          <w:rFonts w:hAnsi="宋体"/>
          <w:bCs/>
          <w:color w:val="000000"/>
          <w:sz w:val="24"/>
          <w:szCs w:val="24"/>
        </w:rPr>
        <w:t xml:space="preserve">10.1 </w:t>
      </w:r>
      <w:r>
        <w:rPr>
          <w:rFonts w:hint="eastAsia" w:hAnsi="宋体"/>
          <w:bCs/>
          <w:color w:val="000000"/>
          <w:sz w:val="24"/>
          <w:szCs w:val="24"/>
        </w:rPr>
        <w:t>付款方式：</w:t>
      </w:r>
      <w:r>
        <w:rPr>
          <w:rFonts w:hint="eastAsia" w:hAnsi="宋体"/>
          <w:bCs/>
          <w:color w:val="000000"/>
          <w:sz w:val="24"/>
          <w:szCs w:val="24"/>
          <w:u w:val="single"/>
          <w:lang w:val="en-US" w:eastAsia="zh-CN"/>
        </w:rPr>
        <w:t>项目</w:t>
      </w:r>
      <w:r>
        <w:rPr>
          <w:rFonts w:hint="eastAsia" w:hAnsi="宋体"/>
          <w:bCs/>
          <w:color w:val="000000"/>
          <w:sz w:val="24"/>
          <w:szCs w:val="24"/>
          <w:u w:val="single"/>
        </w:rPr>
        <w:t>竣工验收合格后一个月内付至工程款的40%；</w:t>
      </w:r>
      <w:r>
        <w:rPr>
          <w:rFonts w:hint="eastAsia" w:hAnsi="宋体"/>
          <w:bCs/>
          <w:color w:val="000000"/>
          <w:sz w:val="24"/>
          <w:szCs w:val="24"/>
          <w:u w:val="single"/>
          <w:lang w:val="en-US" w:eastAsia="zh-CN"/>
        </w:rPr>
        <w:t>项目</w:t>
      </w:r>
      <w:r>
        <w:rPr>
          <w:rFonts w:hint="eastAsia" w:hAnsi="宋体"/>
          <w:bCs/>
          <w:color w:val="000000"/>
          <w:sz w:val="24"/>
          <w:szCs w:val="24"/>
          <w:u w:val="single"/>
        </w:rPr>
        <w:t>竣工验收合格1年经审计结束出具审计报告后付至审计价的70%；</w:t>
      </w:r>
      <w:r>
        <w:rPr>
          <w:rFonts w:hint="eastAsia" w:hAnsi="宋体"/>
          <w:bCs/>
          <w:color w:val="000000"/>
          <w:sz w:val="24"/>
          <w:szCs w:val="24"/>
          <w:u w:val="single"/>
          <w:lang w:val="en-US" w:eastAsia="zh-CN"/>
        </w:rPr>
        <w:t>项目</w:t>
      </w:r>
      <w:r>
        <w:rPr>
          <w:rFonts w:hint="eastAsia" w:hAnsi="宋体"/>
          <w:bCs/>
          <w:color w:val="000000"/>
          <w:sz w:val="24"/>
          <w:szCs w:val="24"/>
          <w:u w:val="single"/>
        </w:rPr>
        <w:t>竣工验收合格2年后并经审计结束出具审计报告一个月内结清审计工程款。</w:t>
      </w:r>
    </w:p>
    <w:p>
      <w:pPr>
        <w:pStyle w:val="20"/>
        <w:snapToGrid w:val="0"/>
        <w:spacing w:before="120" w:after="120" w:line="500" w:lineRule="exact"/>
        <w:rPr>
          <w:rFonts w:hAnsi="宋体"/>
          <w:bCs/>
          <w:color w:val="000000"/>
          <w:sz w:val="24"/>
          <w:szCs w:val="24"/>
          <w:u w:val="single"/>
          <w:shd w:val="clear" w:color="auto" w:fill="FFFF00"/>
        </w:rPr>
      </w:pPr>
      <w:r>
        <w:rPr>
          <w:rFonts w:hint="eastAsia" w:hAnsi="宋体"/>
          <w:bCs/>
          <w:color w:val="000000"/>
          <w:sz w:val="24"/>
          <w:szCs w:val="24"/>
          <w:u w:val="single"/>
        </w:rPr>
        <w:t>注：以上付款进度，无任何利息补偿。</w:t>
      </w:r>
    </w:p>
    <w:p>
      <w:pPr>
        <w:pStyle w:val="20"/>
        <w:snapToGrid w:val="0"/>
        <w:spacing w:before="120" w:after="120" w:line="500" w:lineRule="exact"/>
        <w:rPr>
          <w:rFonts w:hAnsi="宋体"/>
          <w:color w:val="000000"/>
          <w:sz w:val="24"/>
          <w:szCs w:val="24"/>
        </w:rPr>
      </w:pPr>
      <w:r>
        <w:rPr>
          <w:rFonts w:hAnsi="宋体"/>
          <w:bCs/>
          <w:color w:val="000000"/>
          <w:sz w:val="24"/>
          <w:szCs w:val="24"/>
        </w:rPr>
        <w:t>10.2</w:t>
      </w:r>
      <w:r>
        <w:rPr>
          <w:rFonts w:hint="eastAsia" w:hAnsi="宋体"/>
          <w:color w:val="000000"/>
          <w:sz w:val="24"/>
          <w:szCs w:val="24"/>
        </w:rPr>
        <w:t>当采购数量与实际使用数量不一致时，乙方应根据实际使用量供货，合同的最终结算金额按实际使用量乘以成交单价进行计算。</w:t>
      </w:r>
    </w:p>
    <w:p>
      <w:pPr>
        <w:snapToGrid w:val="0"/>
        <w:spacing w:beforeLines="50" w:afterLines="50" w:line="440" w:lineRule="exact"/>
        <w:rPr>
          <w:rFonts w:ascii="宋体"/>
          <w:b/>
          <w:color w:val="000000"/>
          <w:sz w:val="24"/>
          <w:szCs w:val="24"/>
        </w:rPr>
      </w:pPr>
      <w:r>
        <w:rPr>
          <w:rFonts w:hint="eastAsia" w:ascii="宋体" w:hAnsi="宋体"/>
          <w:b/>
          <w:color w:val="000000"/>
          <w:sz w:val="24"/>
          <w:szCs w:val="24"/>
        </w:rPr>
        <w:t>十一、税费</w:t>
      </w:r>
    </w:p>
    <w:p>
      <w:pPr>
        <w:snapToGrid w:val="0"/>
        <w:spacing w:beforeLines="50" w:afterLines="50" w:line="440" w:lineRule="exact"/>
        <w:rPr>
          <w:rFonts w:ascii="宋体"/>
          <w:color w:val="000000"/>
          <w:sz w:val="24"/>
          <w:szCs w:val="24"/>
        </w:rPr>
      </w:pPr>
      <w:r>
        <w:rPr>
          <w:rFonts w:ascii="宋体" w:hAnsi="宋体"/>
          <w:color w:val="000000"/>
          <w:sz w:val="24"/>
          <w:szCs w:val="24"/>
        </w:rPr>
        <w:t>11.1</w:t>
      </w:r>
      <w:r>
        <w:rPr>
          <w:rFonts w:hint="eastAsia" w:ascii="宋体" w:hAnsi="宋体"/>
          <w:color w:val="000000"/>
          <w:sz w:val="24"/>
          <w:szCs w:val="24"/>
        </w:rPr>
        <w:t>本合同执行中相关的一切税费均由乙方负担。</w:t>
      </w:r>
    </w:p>
    <w:p>
      <w:pPr>
        <w:pStyle w:val="20"/>
        <w:snapToGrid w:val="0"/>
        <w:spacing w:before="120" w:after="120" w:line="440" w:lineRule="exact"/>
        <w:ind w:left="412" w:hanging="412" w:hangingChars="171"/>
        <w:rPr>
          <w:rFonts w:hAnsi="宋体"/>
          <w:color w:val="000000"/>
          <w:sz w:val="24"/>
          <w:szCs w:val="24"/>
        </w:rPr>
      </w:pPr>
      <w:r>
        <w:rPr>
          <w:rFonts w:hint="eastAsia" w:hAnsi="宋体"/>
          <w:b/>
          <w:color w:val="000000"/>
          <w:sz w:val="24"/>
          <w:szCs w:val="24"/>
        </w:rPr>
        <w:t>十二、质量保证及售后服务</w:t>
      </w:r>
    </w:p>
    <w:p>
      <w:pPr>
        <w:pStyle w:val="20"/>
        <w:snapToGrid w:val="0"/>
        <w:spacing w:before="120" w:after="120" w:line="440" w:lineRule="exact"/>
        <w:rPr>
          <w:rFonts w:hAnsi="宋体"/>
          <w:color w:val="000000"/>
          <w:sz w:val="24"/>
          <w:szCs w:val="24"/>
        </w:rPr>
      </w:pPr>
      <w:r>
        <w:rPr>
          <w:rFonts w:hAnsi="宋体"/>
          <w:color w:val="000000"/>
          <w:sz w:val="24"/>
          <w:szCs w:val="24"/>
        </w:rPr>
        <w:t xml:space="preserve">12.1 </w:t>
      </w:r>
      <w:r>
        <w:rPr>
          <w:rFonts w:hint="eastAsia" w:hAnsi="宋体"/>
          <w:color w:val="000000"/>
          <w:sz w:val="24"/>
          <w:szCs w:val="24"/>
        </w:rPr>
        <w:t>乙方应按招标文件规定的货物性能、技术要求、质量标准向甲方提供未经使用的全新产品。</w:t>
      </w:r>
    </w:p>
    <w:p>
      <w:pPr>
        <w:pStyle w:val="20"/>
        <w:snapToGrid w:val="0"/>
        <w:spacing w:before="120" w:after="120" w:line="440" w:lineRule="exact"/>
        <w:rPr>
          <w:rFonts w:hAnsi="宋体"/>
          <w:color w:val="000000"/>
          <w:sz w:val="24"/>
          <w:szCs w:val="24"/>
        </w:rPr>
      </w:pPr>
      <w:r>
        <w:rPr>
          <w:rFonts w:hAnsi="宋体"/>
          <w:color w:val="000000"/>
          <w:sz w:val="24"/>
          <w:szCs w:val="24"/>
        </w:rPr>
        <w:t xml:space="preserve">12.2 </w:t>
      </w:r>
      <w:r>
        <w:rPr>
          <w:rFonts w:hint="eastAsia" w:hAnsi="宋体"/>
          <w:color w:val="000000"/>
          <w:sz w:val="24"/>
          <w:szCs w:val="24"/>
        </w:rPr>
        <w:t>乙方提供的货物在质量期内因货物本身的质量问题发生故障，乙方应负责免费更换。对达不到技术要求者，根据实际情况，经双方协商，可按以下办法处理：</w:t>
      </w:r>
    </w:p>
    <w:p>
      <w:pPr>
        <w:pStyle w:val="20"/>
        <w:snapToGrid w:val="0"/>
        <w:spacing w:before="120" w:after="120" w:line="440" w:lineRule="exact"/>
        <w:rPr>
          <w:rFonts w:hAnsi="宋体"/>
          <w:color w:val="000000"/>
          <w:sz w:val="24"/>
          <w:szCs w:val="24"/>
        </w:rPr>
      </w:pPr>
      <w:r>
        <w:rPr>
          <w:rFonts w:hAnsi="宋体"/>
          <w:color w:val="000000"/>
          <w:sz w:val="24"/>
          <w:szCs w:val="24"/>
        </w:rPr>
        <w:t>12.2.1</w:t>
      </w:r>
      <w:r>
        <w:rPr>
          <w:rFonts w:hint="eastAsia" w:hAnsi="宋体"/>
          <w:color w:val="000000"/>
          <w:sz w:val="24"/>
          <w:szCs w:val="24"/>
        </w:rPr>
        <w:t>更换：由乙方承担所发生的全部费用。</w:t>
      </w:r>
    </w:p>
    <w:p>
      <w:pPr>
        <w:pStyle w:val="20"/>
        <w:snapToGrid w:val="0"/>
        <w:spacing w:before="120" w:after="120" w:line="440" w:lineRule="exact"/>
        <w:rPr>
          <w:rFonts w:hAnsi="宋体"/>
          <w:color w:val="000000"/>
          <w:sz w:val="24"/>
          <w:szCs w:val="24"/>
        </w:rPr>
      </w:pPr>
      <w:r>
        <w:rPr>
          <w:rFonts w:hAnsi="宋体"/>
          <w:color w:val="000000"/>
          <w:sz w:val="24"/>
          <w:szCs w:val="24"/>
        </w:rPr>
        <w:t>12.2.2</w:t>
      </w:r>
      <w:r>
        <w:rPr>
          <w:rFonts w:hint="eastAsia" w:hAnsi="宋体"/>
          <w:color w:val="000000"/>
          <w:sz w:val="24"/>
          <w:szCs w:val="24"/>
        </w:rPr>
        <w:t>贬值处理：由甲乙双方合议定价。</w:t>
      </w:r>
    </w:p>
    <w:p>
      <w:pPr>
        <w:pStyle w:val="20"/>
        <w:snapToGrid w:val="0"/>
        <w:spacing w:before="120" w:after="120" w:line="440" w:lineRule="exact"/>
        <w:rPr>
          <w:rFonts w:hAnsi="宋体"/>
          <w:color w:val="000000"/>
          <w:sz w:val="24"/>
          <w:szCs w:val="24"/>
        </w:rPr>
      </w:pPr>
      <w:r>
        <w:rPr>
          <w:rFonts w:hAnsi="宋体"/>
          <w:color w:val="000000"/>
          <w:sz w:val="24"/>
          <w:szCs w:val="24"/>
        </w:rPr>
        <w:t>12.2.3</w:t>
      </w:r>
      <w:r>
        <w:rPr>
          <w:rFonts w:hint="eastAsia" w:hAnsi="宋体"/>
          <w:color w:val="000000"/>
          <w:sz w:val="24"/>
          <w:szCs w:val="24"/>
        </w:rPr>
        <w:t>退货处理：乙方应退还甲方支付的合同款，同时应承担该货物的直接费用（运输、保险、检验、货款利息及银行手续费等）。</w:t>
      </w:r>
    </w:p>
    <w:p>
      <w:pPr>
        <w:pStyle w:val="20"/>
        <w:snapToGrid w:val="0"/>
        <w:spacing w:before="120" w:after="120" w:line="440" w:lineRule="exact"/>
        <w:rPr>
          <w:rFonts w:hAnsi="宋体"/>
          <w:sz w:val="24"/>
          <w:szCs w:val="24"/>
        </w:rPr>
      </w:pPr>
      <w:r>
        <w:rPr>
          <w:rFonts w:hAnsi="宋体"/>
          <w:color w:val="000000"/>
          <w:sz w:val="24"/>
          <w:szCs w:val="24"/>
        </w:rPr>
        <w:t xml:space="preserve">12.3 </w:t>
      </w:r>
      <w:r>
        <w:rPr>
          <w:rFonts w:hint="eastAsia" w:hAnsi="宋体"/>
          <w:color w:val="000000"/>
          <w:sz w:val="24"/>
          <w:szCs w:val="24"/>
        </w:rPr>
        <w:t>如在使用过程</w:t>
      </w:r>
      <w:r>
        <w:rPr>
          <w:rFonts w:hint="eastAsia" w:hAnsi="宋体"/>
          <w:sz w:val="24"/>
          <w:szCs w:val="24"/>
        </w:rPr>
        <w:t>中发生质量问题，乙方在接到甲方通知后在2小时内到达甲方现场。</w:t>
      </w:r>
    </w:p>
    <w:p>
      <w:pPr>
        <w:pStyle w:val="20"/>
        <w:snapToGrid w:val="0"/>
        <w:spacing w:before="120" w:after="120" w:line="480" w:lineRule="exact"/>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20"/>
        <w:snapToGrid w:val="0"/>
        <w:spacing w:before="120" w:after="120" w:line="480" w:lineRule="exact"/>
        <w:rPr>
          <w:rFonts w:hAnsi="宋体"/>
          <w:color w:val="000000"/>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lang w:val="en-US" w:eastAsia="zh-CN"/>
        </w:rPr>
        <w:t xml:space="preserve">  </w:t>
      </w:r>
      <w:r>
        <w:rPr>
          <w:rFonts w:hint="eastAsia" w:hAnsi="宋体"/>
          <w:sz w:val="24"/>
          <w:szCs w:val="24"/>
        </w:rPr>
        <w:t>年，因人为因</w:t>
      </w:r>
      <w:r>
        <w:rPr>
          <w:rFonts w:hint="eastAsia" w:hAnsi="宋体"/>
          <w:color w:val="000000"/>
          <w:sz w:val="24"/>
          <w:szCs w:val="24"/>
        </w:rPr>
        <w:t>素出现的故障不在免费保修范围内。超过保修期的机器设备，终生维修，维修时只收部件成本费。</w:t>
      </w:r>
    </w:p>
    <w:p>
      <w:pPr>
        <w:pStyle w:val="20"/>
        <w:snapToGrid w:val="0"/>
        <w:spacing w:before="120" w:after="120" w:line="480" w:lineRule="exact"/>
        <w:rPr>
          <w:rFonts w:hAnsi="宋体"/>
          <w:b/>
          <w:color w:val="000000"/>
          <w:sz w:val="24"/>
          <w:szCs w:val="24"/>
        </w:rPr>
      </w:pPr>
      <w:r>
        <w:rPr>
          <w:rFonts w:hint="eastAsia" w:hAnsi="宋体"/>
          <w:b/>
          <w:color w:val="000000"/>
          <w:sz w:val="24"/>
          <w:szCs w:val="24"/>
        </w:rPr>
        <w:t>十三、调试和验收</w:t>
      </w:r>
    </w:p>
    <w:p>
      <w:pPr>
        <w:pStyle w:val="20"/>
        <w:snapToGrid w:val="0"/>
        <w:spacing w:before="120" w:after="120" w:line="480" w:lineRule="exact"/>
        <w:rPr>
          <w:rFonts w:hAnsi="宋体"/>
          <w:color w:val="000000"/>
          <w:sz w:val="24"/>
          <w:szCs w:val="24"/>
        </w:rPr>
      </w:pPr>
      <w:r>
        <w:rPr>
          <w:rFonts w:hAnsi="宋体"/>
          <w:color w:val="000000"/>
          <w:sz w:val="24"/>
          <w:szCs w:val="24"/>
        </w:rPr>
        <w:t xml:space="preserve">13.1 </w:t>
      </w:r>
      <w:r>
        <w:rPr>
          <w:rFonts w:hint="eastAsia" w:hAnsi="宋体"/>
          <w:color w:val="000000"/>
          <w:sz w:val="24"/>
          <w:szCs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20"/>
        <w:snapToGrid w:val="0"/>
        <w:spacing w:before="120" w:after="120" w:line="480" w:lineRule="exact"/>
        <w:rPr>
          <w:rFonts w:hAnsi="宋体"/>
          <w:color w:val="000000"/>
          <w:sz w:val="24"/>
          <w:szCs w:val="24"/>
        </w:rPr>
      </w:pPr>
      <w:r>
        <w:rPr>
          <w:rFonts w:hAnsi="宋体"/>
          <w:color w:val="000000"/>
          <w:sz w:val="24"/>
          <w:szCs w:val="24"/>
        </w:rPr>
        <w:t xml:space="preserve">13.2 </w:t>
      </w:r>
      <w:r>
        <w:rPr>
          <w:rFonts w:hint="eastAsia" w:hAnsi="宋体"/>
          <w:color w:val="000000"/>
          <w:sz w:val="24"/>
          <w:szCs w:val="24"/>
        </w:rPr>
        <w:t>乙方交货前应对产品作出全面检查和对验收文件进行整理，并列出清单，作为甲方收货验收和使用的技术条件依据，检验的结果应随货物交甲方。</w:t>
      </w:r>
    </w:p>
    <w:p>
      <w:pPr>
        <w:pStyle w:val="20"/>
        <w:snapToGrid w:val="0"/>
        <w:spacing w:before="120" w:after="120" w:line="500" w:lineRule="exact"/>
        <w:rPr>
          <w:rFonts w:hAnsi="宋体"/>
          <w:color w:val="000000"/>
          <w:sz w:val="24"/>
          <w:szCs w:val="24"/>
          <w:u w:val="single"/>
        </w:rPr>
      </w:pPr>
      <w:r>
        <w:rPr>
          <w:rFonts w:hAnsi="宋体"/>
          <w:color w:val="000000"/>
          <w:sz w:val="24"/>
          <w:szCs w:val="24"/>
        </w:rPr>
        <w:t xml:space="preserve">13.3 </w:t>
      </w:r>
      <w:r>
        <w:rPr>
          <w:rFonts w:hint="eastAsia" w:hAnsi="宋体"/>
          <w:color w:val="000000"/>
          <w:sz w:val="24"/>
          <w:szCs w:val="24"/>
        </w:rPr>
        <w:t>甲方对乙方提供的货物在使用前进行调试时，乙方需负责安装并培训甲方的使用操作人员，并协助甲方一起调试，直到符合技术要求，甲方才做最终验收。</w:t>
      </w:r>
    </w:p>
    <w:p>
      <w:pPr>
        <w:pStyle w:val="20"/>
        <w:snapToGrid w:val="0"/>
        <w:spacing w:before="120" w:after="120" w:line="500" w:lineRule="exact"/>
        <w:rPr>
          <w:rFonts w:hAnsi="宋体"/>
          <w:color w:val="000000"/>
          <w:sz w:val="24"/>
          <w:szCs w:val="24"/>
        </w:rPr>
      </w:pPr>
      <w:r>
        <w:rPr>
          <w:rFonts w:hAnsi="宋体"/>
          <w:color w:val="000000"/>
          <w:sz w:val="24"/>
          <w:szCs w:val="24"/>
        </w:rPr>
        <w:t xml:space="preserve">13.4 </w:t>
      </w:r>
      <w:r>
        <w:rPr>
          <w:rFonts w:hint="eastAsia" w:hAnsi="宋体"/>
          <w:color w:val="000000"/>
          <w:sz w:val="24"/>
          <w:szCs w:val="24"/>
        </w:rPr>
        <w:t>对技术复杂的货物，甲方可请国家认可的专业检测机构参与初步验收及最终验收，并由其出具质量检测报告。</w:t>
      </w:r>
    </w:p>
    <w:p>
      <w:pPr>
        <w:pStyle w:val="20"/>
        <w:snapToGrid w:val="0"/>
        <w:spacing w:before="120" w:after="120" w:line="500" w:lineRule="exact"/>
        <w:rPr>
          <w:rFonts w:hAnsi="宋体"/>
          <w:color w:val="000000"/>
          <w:sz w:val="24"/>
          <w:szCs w:val="24"/>
        </w:rPr>
      </w:pPr>
      <w:r>
        <w:rPr>
          <w:rFonts w:hAnsi="宋体"/>
          <w:color w:val="000000"/>
          <w:sz w:val="24"/>
          <w:szCs w:val="24"/>
        </w:rPr>
        <w:t xml:space="preserve">13.5 </w:t>
      </w:r>
      <w:r>
        <w:rPr>
          <w:rFonts w:hint="eastAsia" w:hAnsi="宋体"/>
          <w:color w:val="000000"/>
          <w:sz w:val="24"/>
          <w:szCs w:val="24"/>
        </w:rPr>
        <w:t>验收时乙方必须在现场，验收完毕后作出验收结果报告；验收费用由甲乙双方协商解决。</w:t>
      </w:r>
    </w:p>
    <w:p>
      <w:pPr>
        <w:pStyle w:val="20"/>
        <w:snapToGrid w:val="0"/>
        <w:spacing w:before="120" w:after="120" w:line="500" w:lineRule="exact"/>
        <w:rPr>
          <w:rFonts w:hAnsi="宋体"/>
          <w:b/>
          <w:color w:val="000000"/>
          <w:sz w:val="24"/>
          <w:szCs w:val="24"/>
        </w:rPr>
      </w:pPr>
      <w:r>
        <w:rPr>
          <w:rFonts w:hint="eastAsia" w:hAnsi="宋体"/>
          <w:b/>
          <w:color w:val="000000"/>
          <w:sz w:val="24"/>
          <w:szCs w:val="24"/>
        </w:rPr>
        <w:t>十四、货物包装、发运及运输</w:t>
      </w:r>
    </w:p>
    <w:p>
      <w:pPr>
        <w:pStyle w:val="20"/>
        <w:snapToGrid w:val="0"/>
        <w:spacing w:before="120" w:after="120" w:line="500" w:lineRule="exact"/>
        <w:rPr>
          <w:rFonts w:hAnsi="宋体"/>
          <w:color w:val="000000"/>
          <w:sz w:val="24"/>
          <w:szCs w:val="24"/>
        </w:rPr>
      </w:pPr>
      <w:r>
        <w:rPr>
          <w:rFonts w:hAnsi="宋体"/>
          <w:color w:val="000000"/>
          <w:sz w:val="24"/>
          <w:szCs w:val="24"/>
        </w:rPr>
        <w:t xml:space="preserve">14.1 </w:t>
      </w:r>
      <w:r>
        <w:rPr>
          <w:rFonts w:hint="eastAsia" w:hAnsi="宋体"/>
          <w:color w:val="000000"/>
          <w:sz w:val="24"/>
          <w:szCs w:val="24"/>
        </w:rPr>
        <w:t>乙方应在货物发运前对其进行满足运输距离、防潮、防震、防锈和防破损装卸等要求包装，以保证货物安全运达甲方指定地点。</w:t>
      </w:r>
    </w:p>
    <w:p>
      <w:pPr>
        <w:pStyle w:val="20"/>
        <w:snapToGrid w:val="0"/>
        <w:spacing w:before="120" w:after="120" w:line="500" w:lineRule="exact"/>
        <w:ind w:left="480" w:hanging="480"/>
        <w:rPr>
          <w:rFonts w:hAnsi="宋体"/>
          <w:color w:val="000000"/>
          <w:sz w:val="24"/>
          <w:szCs w:val="24"/>
        </w:rPr>
      </w:pPr>
      <w:r>
        <w:rPr>
          <w:rFonts w:hAnsi="宋体"/>
          <w:color w:val="000000"/>
          <w:sz w:val="24"/>
          <w:szCs w:val="24"/>
        </w:rPr>
        <w:t xml:space="preserve">14.2 </w:t>
      </w:r>
      <w:r>
        <w:rPr>
          <w:rFonts w:hint="eastAsia" w:hAnsi="宋体"/>
          <w:color w:val="000000"/>
          <w:sz w:val="24"/>
          <w:szCs w:val="24"/>
        </w:rPr>
        <w:t>使用说明书、质量检验证明书、随配附件和工具以及清单一并附于货物内。</w:t>
      </w:r>
    </w:p>
    <w:p>
      <w:pPr>
        <w:pStyle w:val="20"/>
        <w:snapToGrid w:val="0"/>
        <w:spacing w:before="120" w:after="120" w:line="500" w:lineRule="exact"/>
        <w:rPr>
          <w:rFonts w:hAnsi="宋体"/>
          <w:color w:val="000000"/>
          <w:sz w:val="24"/>
          <w:szCs w:val="24"/>
        </w:rPr>
      </w:pPr>
      <w:r>
        <w:rPr>
          <w:rFonts w:hAnsi="宋体"/>
          <w:color w:val="000000"/>
          <w:sz w:val="24"/>
          <w:szCs w:val="24"/>
        </w:rPr>
        <w:t xml:space="preserve">14.3 </w:t>
      </w:r>
      <w:r>
        <w:rPr>
          <w:rFonts w:hint="eastAsia" w:hAnsi="宋体"/>
          <w:color w:val="000000"/>
          <w:sz w:val="24"/>
          <w:szCs w:val="24"/>
        </w:rPr>
        <w:t>乙方在货物发运手续办理完毕后</w:t>
      </w:r>
      <w:r>
        <w:rPr>
          <w:rFonts w:hAnsi="宋体"/>
          <w:color w:val="000000"/>
          <w:sz w:val="24"/>
          <w:szCs w:val="24"/>
          <w:u w:val="single"/>
        </w:rPr>
        <w:t>24</w:t>
      </w:r>
      <w:r>
        <w:rPr>
          <w:rFonts w:hint="eastAsia" w:hAnsi="宋体"/>
          <w:color w:val="000000"/>
          <w:sz w:val="24"/>
          <w:szCs w:val="24"/>
          <w:u w:val="single"/>
        </w:rPr>
        <w:t>小时</w:t>
      </w:r>
      <w:r>
        <w:rPr>
          <w:rFonts w:hint="eastAsia" w:hAnsi="宋体"/>
          <w:color w:val="000000"/>
          <w:sz w:val="24"/>
          <w:szCs w:val="24"/>
        </w:rPr>
        <w:t>内或货到甲方</w:t>
      </w:r>
      <w:r>
        <w:rPr>
          <w:rFonts w:hAnsi="宋体"/>
          <w:color w:val="000000"/>
          <w:sz w:val="24"/>
          <w:szCs w:val="24"/>
          <w:u w:val="single"/>
        </w:rPr>
        <w:t>48</w:t>
      </w:r>
      <w:r>
        <w:rPr>
          <w:rFonts w:hint="eastAsia" w:hAnsi="宋体"/>
          <w:color w:val="000000"/>
          <w:sz w:val="24"/>
          <w:szCs w:val="24"/>
          <w:u w:val="single"/>
        </w:rPr>
        <w:t>小时</w:t>
      </w:r>
      <w:r>
        <w:rPr>
          <w:rFonts w:hint="eastAsia" w:hAnsi="宋体"/>
          <w:color w:val="000000"/>
          <w:sz w:val="24"/>
          <w:szCs w:val="24"/>
        </w:rPr>
        <w:t>前通知甲方，以准备接货。</w:t>
      </w:r>
    </w:p>
    <w:p>
      <w:pPr>
        <w:pStyle w:val="20"/>
        <w:snapToGrid w:val="0"/>
        <w:spacing w:before="120" w:after="120" w:line="500" w:lineRule="exact"/>
        <w:ind w:left="480" w:hanging="480"/>
        <w:rPr>
          <w:rFonts w:hAnsi="宋体"/>
          <w:color w:val="000000"/>
          <w:sz w:val="24"/>
          <w:szCs w:val="24"/>
        </w:rPr>
      </w:pPr>
      <w:r>
        <w:rPr>
          <w:rFonts w:hAnsi="宋体"/>
          <w:color w:val="000000"/>
          <w:sz w:val="24"/>
          <w:szCs w:val="24"/>
        </w:rPr>
        <w:t xml:space="preserve">14.4 </w:t>
      </w:r>
      <w:r>
        <w:rPr>
          <w:rFonts w:hint="eastAsia" w:hAnsi="宋体"/>
          <w:color w:val="000000"/>
          <w:sz w:val="24"/>
          <w:szCs w:val="24"/>
        </w:rPr>
        <w:t>货物在交付甲方前发生的风险均由乙方负责。</w:t>
      </w:r>
    </w:p>
    <w:p>
      <w:pPr>
        <w:pStyle w:val="20"/>
        <w:snapToGrid w:val="0"/>
        <w:spacing w:before="156" w:after="156" w:line="500" w:lineRule="exact"/>
        <w:ind w:right="26"/>
        <w:rPr>
          <w:rFonts w:hAnsi="宋体"/>
          <w:color w:val="000000"/>
          <w:sz w:val="24"/>
          <w:szCs w:val="24"/>
        </w:rPr>
      </w:pPr>
      <w:r>
        <w:rPr>
          <w:rFonts w:hAnsi="宋体"/>
          <w:color w:val="000000"/>
          <w:sz w:val="24"/>
          <w:szCs w:val="24"/>
        </w:rPr>
        <w:t xml:space="preserve">14.5 </w:t>
      </w:r>
      <w:r>
        <w:rPr>
          <w:rFonts w:hint="eastAsia" w:hAnsi="宋体"/>
          <w:color w:val="000000"/>
          <w:sz w:val="24"/>
          <w:szCs w:val="24"/>
        </w:rPr>
        <w:t>货物在规定的交付期限内由乙方送达甲方指定的地点视为交付，乙方同时需通知甲方货物已送达。</w:t>
      </w:r>
    </w:p>
    <w:p>
      <w:pPr>
        <w:pStyle w:val="20"/>
        <w:snapToGrid w:val="0"/>
        <w:spacing w:before="120" w:after="120" w:line="500" w:lineRule="exact"/>
        <w:rPr>
          <w:rFonts w:hAnsi="宋体"/>
          <w:b/>
          <w:color w:val="000000"/>
          <w:sz w:val="24"/>
          <w:szCs w:val="24"/>
        </w:rPr>
      </w:pPr>
      <w:r>
        <w:rPr>
          <w:rFonts w:hint="eastAsia" w:hAnsi="宋体"/>
          <w:b/>
          <w:color w:val="000000"/>
          <w:sz w:val="24"/>
          <w:szCs w:val="24"/>
        </w:rPr>
        <w:t>十五、违约责任</w:t>
      </w:r>
    </w:p>
    <w:p>
      <w:pPr>
        <w:pStyle w:val="20"/>
        <w:snapToGrid w:val="0"/>
        <w:spacing w:before="120" w:after="120" w:line="500" w:lineRule="exact"/>
        <w:ind w:left="410" w:hanging="410" w:hangingChars="171"/>
        <w:rPr>
          <w:rFonts w:hAnsi="宋体"/>
          <w:color w:val="000000"/>
          <w:sz w:val="24"/>
          <w:szCs w:val="24"/>
        </w:rPr>
      </w:pPr>
      <w:r>
        <w:rPr>
          <w:rFonts w:hAnsi="宋体"/>
          <w:color w:val="000000"/>
          <w:sz w:val="24"/>
          <w:szCs w:val="24"/>
        </w:rPr>
        <w:t xml:space="preserve">15.1 </w:t>
      </w:r>
      <w:r>
        <w:rPr>
          <w:rFonts w:hint="eastAsia" w:hAnsi="宋体"/>
          <w:color w:val="000000"/>
          <w:sz w:val="24"/>
          <w:szCs w:val="24"/>
        </w:rPr>
        <w:t>甲方无正当理由拒收货物的，甲方向乙方偿付拒收货款总值的百分之五违约金。</w:t>
      </w:r>
    </w:p>
    <w:p>
      <w:pPr>
        <w:pStyle w:val="20"/>
        <w:snapToGrid w:val="0"/>
        <w:spacing w:before="120" w:after="120" w:line="500" w:lineRule="exact"/>
        <w:rPr>
          <w:rFonts w:hAnsi="宋体"/>
          <w:color w:val="000000"/>
          <w:sz w:val="24"/>
          <w:szCs w:val="24"/>
        </w:rPr>
      </w:pPr>
      <w:r>
        <w:rPr>
          <w:rFonts w:hAnsi="宋体"/>
          <w:color w:val="000000"/>
          <w:sz w:val="24"/>
          <w:szCs w:val="24"/>
        </w:rPr>
        <w:t xml:space="preserve">15.2 </w:t>
      </w:r>
      <w:r>
        <w:rPr>
          <w:rFonts w:hint="eastAsia" w:hAnsi="宋体"/>
          <w:color w:val="000000"/>
          <w:sz w:val="24"/>
          <w:szCs w:val="24"/>
        </w:rPr>
        <w:t>甲方无故逾期验收和办理货款支付手续的</w:t>
      </w:r>
      <w:r>
        <w:rPr>
          <w:rFonts w:hAnsi="宋体"/>
          <w:color w:val="000000"/>
          <w:sz w:val="24"/>
          <w:szCs w:val="24"/>
        </w:rPr>
        <w:t>,</w:t>
      </w:r>
      <w:r>
        <w:rPr>
          <w:rFonts w:hint="eastAsia" w:hAnsi="宋体"/>
          <w:color w:val="000000"/>
          <w:sz w:val="24"/>
          <w:szCs w:val="24"/>
        </w:rPr>
        <w:t>甲方应按逾期付款总额每日万分之五向乙方支付违约金。</w:t>
      </w:r>
    </w:p>
    <w:p>
      <w:pPr>
        <w:pStyle w:val="20"/>
        <w:snapToGrid w:val="0"/>
        <w:spacing w:before="120" w:after="120" w:line="530" w:lineRule="exact"/>
        <w:rPr>
          <w:rFonts w:hAnsi="宋体"/>
          <w:color w:val="000000"/>
          <w:sz w:val="24"/>
          <w:szCs w:val="24"/>
        </w:rPr>
      </w:pPr>
      <w:r>
        <w:rPr>
          <w:rFonts w:hAnsi="宋体"/>
          <w:color w:val="000000"/>
          <w:sz w:val="24"/>
          <w:szCs w:val="24"/>
        </w:rPr>
        <w:t xml:space="preserve">15.3 </w:t>
      </w:r>
      <w:r>
        <w:rPr>
          <w:rFonts w:hint="eastAsia" w:hAnsi="宋体"/>
          <w:color w:val="000000"/>
          <w:sz w:val="24"/>
          <w:szCs w:val="24"/>
        </w:rPr>
        <w:t>乙方逾期交付货物的，乙方应按逾期交货总额每日千分之六向甲方支付违约金，由甲方从待付货款中扣除。逾期超过约定日期</w:t>
      </w:r>
      <w:r>
        <w:rPr>
          <w:rFonts w:hAnsi="宋体"/>
          <w:color w:val="000000"/>
          <w:sz w:val="24"/>
          <w:szCs w:val="24"/>
        </w:rPr>
        <w:t>10</w:t>
      </w:r>
      <w:r>
        <w:rPr>
          <w:rFonts w:hint="eastAsia" w:hAnsi="宋体"/>
          <w:color w:val="000000"/>
          <w:sz w:val="24"/>
          <w:szCs w:val="24"/>
        </w:rPr>
        <w:t>个工作日不能交货的，甲方可解除本合同。乙方因逾期交货或因其他违约行为导致甲方解除合同的，乙方应向甲方支付合同总值</w:t>
      </w:r>
      <w:r>
        <w:rPr>
          <w:rFonts w:hAnsi="宋体"/>
          <w:color w:val="000000"/>
          <w:sz w:val="24"/>
          <w:szCs w:val="24"/>
        </w:rPr>
        <w:t>5%</w:t>
      </w:r>
      <w:r>
        <w:rPr>
          <w:rFonts w:hint="eastAsia" w:hAnsi="宋体"/>
          <w:color w:val="000000"/>
          <w:sz w:val="24"/>
          <w:szCs w:val="24"/>
        </w:rPr>
        <w:t>的违约金，如造成甲方损失超过违约金的，超出部分由乙方继续承担赔偿责任。</w:t>
      </w:r>
    </w:p>
    <w:p>
      <w:pPr>
        <w:pStyle w:val="20"/>
        <w:snapToGrid w:val="0"/>
        <w:spacing w:before="120" w:after="120" w:line="530" w:lineRule="exact"/>
        <w:rPr>
          <w:rFonts w:hAnsi="宋体"/>
          <w:color w:val="000000"/>
          <w:sz w:val="24"/>
          <w:szCs w:val="24"/>
        </w:rPr>
      </w:pPr>
      <w:r>
        <w:rPr>
          <w:rFonts w:hAnsi="宋体"/>
          <w:color w:val="000000"/>
          <w:sz w:val="24"/>
          <w:szCs w:val="24"/>
        </w:rPr>
        <w:t xml:space="preserve">15.4 </w:t>
      </w:r>
      <w:r>
        <w:rPr>
          <w:rFonts w:hint="eastAsia" w:hAnsi="宋体"/>
          <w:color w:val="000000"/>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0"/>
        <w:snapToGrid w:val="0"/>
        <w:spacing w:before="120" w:after="120" w:line="530" w:lineRule="exact"/>
        <w:rPr>
          <w:rFonts w:hAnsi="宋体"/>
          <w:b/>
          <w:color w:val="000000"/>
          <w:sz w:val="24"/>
          <w:szCs w:val="24"/>
        </w:rPr>
      </w:pPr>
      <w:r>
        <w:rPr>
          <w:rFonts w:hint="eastAsia" w:hAnsi="宋体"/>
          <w:b/>
          <w:color w:val="000000"/>
          <w:sz w:val="24"/>
          <w:szCs w:val="24"/>
        </w:rPr>
        <w:t>十六、不可抗力事件处理</w:t>
      </w:r>
    </w:p>
    <w:p>
      <w:pPr>
        <w:pStyle w:val="20"/>
        <w:snapToGrid w:val="0"/>
        <w:spacing w:before="120" w:after="120" w:line="530" w:lineRule="exact"/>
        <w:rPr>
          <w:rFonts w:hAnsi="宋体"/>
          <w:color w:val="000000"/>
          <w:sz w:val="24"/>
          <w:szCs w:val="24"/>
        </w:rPr>
      </w:pPr>
      <w:r>
        <w:rPr>
          <w:rFonts w:hAnsi="宋体"/>
          <w:color w:val="000000"/>
          <w:sz w:val="24"/>
          <w:szCs w:val="24"/>
        </w:rPr>
        <w:t xml:space="preserve">16.1 </w:t>
      </w:r>
      <w:r>
        <w:rPr>
          <w:rFonts w:hint="eastAsia" w:hAnsi="宋体"/>
          <w:color w:val="000000"/>
          <w:sz w:val="24"/>
          <w:szCs w:val="24"/>
        </w:rPr>
        <w:t>在合同有效期内，任何一方因不可抗力事件导致不能履行合同，则合同履行期可延长，其延长期与不可抗力影响期相同。</w:t>
      </w:r>
    </w:p>
    <w:p>
      <w:pPr>
        <w:pStyle w:val="20"/>
        <w:snapToGrid w:val="0"/>
        <w:spacing w:before="120" w:after="120" w:line="530" w:lineRule="exact"/>
        <w:rPr>
          <w:rFonts w:hAnsi="宋体"/>
          <w:color w:val="000000"/>
          <w:sz w:val="24"/>
          <w:szCs w:val="24"/>
        </w:rPr>
      </w:pPr>
      <w:r>
        <w:rPr>
          <w:rFonts w:hAnsi="宋体"/>
          <w:color w:val="000000"/>
          <w:sz w:val="24"/>
          <w:szCs w:val="24"/>
        </w:rPr>
        <w:t xml:space="preserve">16.2 </w:t>
      </w:r>
      <w:r>
        <w:rPr>
          <w:rFonts w:hint="eastAsia" w:hAnsi="宋体"/>
          <w:color w:val="000000"/>
          <w:sz w:val="24"/>
          <w:szCs w:val="24"/>
        </w:rPr>
        <w:t>不可抗力事件发生后，应立即通知对方，并寄送有关权威机构出具的证明。</w:t>
      </w:r>
    </w:p>
    <w:p>
      <w:pPr>
        <w:pStyle w:val="20"/>
        <w:snapToGrid w:val="0"/>
        <w:spacing w:before="120" w:after="120" w:line="530" w:lineRule="exact"/>
        <w:rPr>
          <w:rFonts w:hAnsi="宋体"/>
          <w:color w:val="000000"/>
          <w:sz w:val="24"/>
          <w:szCs w:val="24"/>
        </w:rPr>
      </w:pPr>
      <w:r>
        <w:rPr>
          <w:rFonts w:hAnsi="宋体"/>
          <w:color w:val="000000"/>
          <w:sz w:val="24"/>
          <w:szCs w:val="24"/>
        </w:rPr>
        <w:t xml:space="preserve">16.3 </w:t>
      </w:r>
      <w:r>
        <w:rPr>
          <w:rFonts w:hint="eastAsia" w:hAnsi="宋体"/>
          <w:color w:val="000000"/>
          <w:sz w:val="24"/>
          <w:szCs w:val="24"/>
        </w:rPr>
        <w:t>不可抗力事件延续</w:t>
      </w:r>
      <w:r>
        <w:rPr>
          <w:rFonts w:hAnsi="宋体"/>
          <w:color w:val="000000"/>
          <w:sz w:val="24"/>
          <w:szCs w:val="24"/>
        </w:rPr>
        <w:t>120</w:t>
      </w:r>
      <w:r>
        <w:rPr>
          <w:rFonts w:hint="eastAsia" w:hAnsi="宋体"/>
          <w:color w:val="000000"/>
          <w:sz w:val="24"/>
          <w:szCs w:val="24"/>
        </w:rPr>
        <w:t>天以上，双方应通过友好协商，确定是否继续履行合同。</w:t>
      </w:r>
    </w:p>
    <w:p>
      <w:pPr>
        <w:pStyle w:val="20"/>
        <w:snapToGrid w:val="0"/>
        <w:spacing w:before="120" w:after="120" w:line="530" w:lineRule="exact"/>
        <w:rPr>
          <w:rFonts w:hAnsi="宋体"/>
          <w:b/>
          <w:color w:val="000000"/>
          <w:sz w:val="24"/>
          <w:szCs w:val="24"/>
        </w:rPr>
      </w:pPr>
      <w:r>
        <w:rPr>
          <w:rFonts w:hint="eastAsia" w:hAnsi="宋体"/>
          <w:b/>
          <w:color w:val="000000"/>
          <w:sz w:val="24"/>
          <w:szCs w:val="24"/>
        </w:rPr>
        <w:t>十七、诉讼</w:t>
      </w:r>
    </w:p>
    <w:p>
      <w:pPr>
        <w:pStyle w:val="20"/>
        <w:snapToGrid w:val="0"/>
        <w:spacing w:before="120" w:after="120" w:line="530" w:lineRule="exact"/>
        <w:rPr>
          <w:rFonts w:hAnsi="宋体"/>
          <w:color w:val="000000"/>
          <w:sz w:val="24"/>
          <w:szCs w:val="24"/>
        </w:rPr>
      </w:pPr>
      <w:r>
        <w:rPr>
          <w:rFonts w:hAnsi="宋体"/>
          <w:color w:val="000000"/>
          <w:sz w:val="24"/>
          <w:szCs w:val="24"/>
        </w:rPr>
        <w:t xml:space="preserve">17.1 </w:t>
      </w:r>
      <w:r>
        <w:rPr>
          <w:rFonts w:hint="eastAsia" w:hAnsi="宋体"/>
          <w:color w:val="000000"/>
          <w:sz w:val="24"/>
          <w:szCs w:val="24"/>
        </w:rPr>
        <w:t>双方在执行合同中所发生的一切争议，应通过协商解决。如协商不成，可向合同签订地法院起诉，合同签订地在此约定为盐城市</w:t>
      </w:r>
      <w:r>
        <w:rPr>
          <w:rFonts w:hint="eastAsia" w:hAnsi="宋体"/>
          <w:color w:val="000000"/>
          <w:sz w:val="24"/>
          <w:szCs w:val="24"/>
          <w:lang w:val="en-US" w:eastAsia="zh-CN"/>
        </w:rPr>
        <w:t>盐都区</w:t>
      </w:r>
      <w:r>
        <w:rPr>
          <w:rFonts w:hint="eastAsia" w:hAnsi="宋体"/>
          <w:color w:val="000000"/>
          <w:sz w:val="24"/>
          <w:szCs w:val="24"/>
        </w:rPr>
        <w:t>。</w:t>
      </w:r>
    </w:p>
    <w:p>
      <w:pPr>
        <w:pStyle w:val="20"/>
        <w:snapToGrid w:val="0"/>
        <w:spacing w:before="120" w:after="120" w:line="530" w:lineRule="exact"/>
        <w:rPr>
          <w:rFonts w:hAnsi="宋体"/>
          <w:b/>
          <w:color w:val="000000"/>
          <w:sz w:val="24"/>
          <w:szCs w:val="24"/>
        </w:rPr>
      </w:pPr>
      <w:r>
        <w:rPr>
          <w:rFonts w:hint="eastAsia" w:hAnsi="宋体"/>
          <w:b/>
          <w:color w:val="000000"/>
          <w:sz w:val="24"/>
          <w:szCs w:val="24"/>
        </w:rPr>
        <w:t>十八、合同生效及其它</w:t>
      </w:r>
    </w:p>
    <w:p>
      <w:pPr>
        <w:pStyle w:val="20"/>
        <w:snapToGrid w:val="0"/>
        <w:spacing w:before="120" w:after="120" w:line="530" w:lineRule="exact"/>
        <w:rPr>
          <w:rFonts w:hAnsi="宋体"/>
          <w:color w:val="000000"/>
          <w:sz w:val="24"/>
          <w:szCs w:val="24"/>
        </w:rPr>
      </w:pPr>
      <w:r>
        <w:rPr>
          <w:rFonts w:hAnsi="宋体"/>
          <w:color w:val="000000"/>
          <w:sz w:val="24"/>
          <w:szCs w:val="24"/>
        </w:rPr>
        <w:t xml:space="preserve">18.1 </w:t>
      </w:r>
      <w:r>
        <w:rPr>
          <w:rFonts w:hint="eastAsia" w:hAnsi="宋体"/>
          <w:color w:val="000000"/>
          <w:sz w:val="24"/>
          <w:szCs w:val="24"/>
        </w:rPr>
        <w:t>合同经双方法定代表人或授权委托代表人签字并加盖单位公章后生效。</w:t>
      </w:r>
    </w:p>
    <w:p>
      <w:pPr>
        <w:pStyle w:val="20"/>
        <w:snapToGrid w:val="0"/>
        <w:spacing w:before="120" w:after="120" w:line="500" w:lineRule="exact"/>
        <w:rPr>
          <w:rFonts w:hAnsi="宋体"/>
          <w:color w:val="000000"/>
          <w:sz w:val="24"/>
          <w:szCs w:val="24"/>
        </w:rPr>
      </w:pPr>
      <w:r>
        <w:rPr>
          <w:rFonts w:hAnsi="宋体"/>
          <w:color w:val="000000"/>
          <w:sz w:val="24"/>
          <w:szCs w:val="24"/>
        </w:rPr>
        <w:t>18.2</w:t>
      </w:r>
      <w:r>
        <w:rPr>
          <w:rFonts w:hint="eastAsia" w:hAnsi="宋体"/>
          <w:color w:val="000000"/>
          <w:sz w:val="24"/>
          <w:szCs w:val="24"/>
        </w:rPr>
        <w:t>本合同未尽事宜，遵照《合同法》有关条文执行。</w:t>
      </w:r>
    </w:p>
    <w:p>
      <w:pPr>
        <w:pStyle w:val="20"/>
        <w:snapToGrid w:val="0"/>
        <w:spacing w:before="120" w:after="120" w:line="500" w:lineRule="exact"/>
        <w:rPr>
          <w:rFonts w:hint="eastAsia" w:hAnsi="宋体"/>
          <w:b/>
          <w:color w:val="000000"/>
          <w:sz w:val="24"/>
          <w:szCs w:val="24"/>
        </w:rPr>
      </w:pPr>
      <w:r>
        <w:rPr>
          <w:rFonts w:hAnsi="宋体"/>
          <w:b/>
          <w:color w:val="000000"/>
          <w:sz w:val="24"/>
          <w:szCs w:val="24"/>
        </w:rPr>
        <w:t xml:space="preserve">18.3 </w:t>
      </w:r>
      <w:r>
        <w:rPr>
          <w:rFonts w:hint="eastAsia" w:hAnsi="宋体"/>
          <w:b/>
          <w:color w:val="000000"/>
          <w:sz w:val="24"/>
          <w:szCs w:val="24"/>
        </w:rPr>
        <w:t>本合同正本一式四份，具有同等法律效力，甲方、乙方各执贰份。</w:t>
      </w:r>
    </w:p>
    <w:p>
      <w:pPr>
        <w:pStyle w:val="20"/>
        <w:snapToGrid w:val="0"/>
        <w:spacing w:before="120" w:after="120" w:line="500" w:lineRule="exact"/>
        <w:rPr>
          <w:rFonts w:hAnsi="宋体"/>
          <w:color w:val="000000"/>
          <w:sz w:val="24"/>
          <w:szCs w:val="24"/>
        </w:rPr>
      </w:pPr>
      <w:r>
        <w:rPr>
          <w:rFonts w:hint="eastAsia" w:hAnsi="宋体"/>
          <w:color w:val="000000"/>
          <w:sz w:val="24"/>
          <w:szCs w:val="24"/>
        </w:rPr>
        <w:t>甲方：                          乙方：</w:t>
      </w:r>
    </w:p>
    <w:p>
      <w:pPr>
        <w:pStyle w:val="20"/>
        <w:snapToGrid w:val="0"/>
        <w:spacing w:before="120" w:after="120" w:line="500" w:lineRule="exact"/>
        <w:rPr>
          <w:rFonts w:hAnsi="宋体"/>
          <w:color w:val="000000"/>
          <w:sz w:val="24"/>
          <w:szCs w:val="24"/>
        </w:rPr>
      </w:pPr>
      <w:r>
        <w:rPr>
          <w:rFonts w:hint="eastAsia" w:hAnsi="宋体"/>
          <w:color w:val="000000"/>
          <w:sz w:val="24"/>
          <w:szCs w:val="24"/>
        </w:rPr>
        <w:t>地址：                          地址：</w:t>
      </w:r>
    </w:p>
    <w:p>
      <w:pPr>
        <w:pStyle w:val="20"/>
        <w:snapToGrid w:val="0"/>
        <w:spacing w:before="120" w:after="120" w:line="500" w:lineRule="exact"/>
        <w:rPr>
          <w:rFonts w:hAnsi="宋体"/>
          <w:color w:val="000000"/>
          <w:sz w:val="24"/>
          <w:szCs w:val="24"/>
        </w:rPr>
      </w:pPr>
      <w:r>
        <w:rPr>
          <w:rFonts w:hint="eastAsia" w:hAnsi="宋体"/>
          <w:color w:val="000000"/>
          <w:sz w:val="24"/>
          <w:szCs w:val="24"/>
        </w:rPr>
        <w:t>法定代表人或授权代表：          法定代表人或授权代表：</w:t>
      </w:r>
    </w:p>
    <w:p>
      <w:pPr>
        <w:pStyle w:val="20"/>
        <w:snapToGrid w:val="0"/>
        <w:spacing w:before="120" w:after="120" w:line="500" w:lineRule="exact"/>
        <w:jc w:val="left"/>
        <w:rPr>
          <w:rFonts w:hAnsi="宋体"/>
          <w:color w:val="000000"/>
          <w:sz w:val="24"/>
          <w:szCs w:val="24"/>
        </w:rPr>
      </w:pPr>
      <w:r>
        <w:rPr>
          <w:rFonts w:hint="eastAsia" w:hAnsi="宋体"/>
          <w:color w:val="000000"/>
          <w:sz w:val="24"/>
          <w:szCs w:val="24"/>
        </w:rPr>
        <w:t>联系电话：                       联系电话：</w:t>
      </w:r>
    </w:p>
    <w:p>
      <w:pPr>
        <w:wordWrap w:val="0"/>
        <w:jc w:val="right"/>
        <w:rPr>
          <w:rFonts w:hint="eastAsia" w:hAnsi="宋体"/>
          <w:color w:val="000000"/>
          <w:sz w:val="24"/>
          <w:szCs w:val="24"/>
        </w:rPr>
      </w:pPr>
      <w:r>
        <w:rPr>
          <w:rFonts w:hint="eastAsia" w:hAnsi="宋体"/>
          <w:color w:val="000000"/>
          <w:sz w:val="24"/>
          <w:szCs w:val="24"/>
        </w:rPr>
        <w:t>年   月   日</w:t>
      </w:r>
    </w:p>
    <w:p>
      <w:pPr>
        <w:pStyle w:val="2"/>
        <w:wordWrap/>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0"/>
        <w:numPr>
          <w:ilvl w:val="0"/>
          <w:numId w:val="4"/>
        </w:numPr>
        <w:snapToGrid w:val="0"/>
        <w:spacing w:before="120" w:after="120" w:line="500" w:lineRule="exact"/>
        <w:ind w:firstLine="361" w:firstLineChars="100"/>
        <w:jc w:val="center"/>
        <w:rPr>
          <w:rFonts w:hint="eastAsia" w:hAnsi="宋体"/>
          <w:b/>
          <w:color w:val="000000" w:themeColor="text1"/>
          <w:sz w:val="36"/>
          <w:szCs w:val="36"/>
          <w14:textFill>
            <w14:solidFill>
              <w14:schemeClr w14:val="tx1"/>
            </w14:solidFill>
          </w14:textFill>
        </w:rPr>
      </w:pPr>
      <w:r>
        <w:rPr>
          <w:rFonts w:hint="eastAsia" w:hAnsi="宋体"/>
          <w:b/>
          <w:color w:val="000000" w:themeColor="text1"/>
          <w:sz w:val="36"/>
          <w:szCs w:val="36"/>
          <w14:textFill>
            <w14:solidFill>
              <w14:schemeClr w14:val="tx1"/>
            </w14:solidFill>
          </w14:textFill>
        </w:rPr>
        <w:t xml:space="preserve"> 采购需求</w:t>
      </w:r>
      <w:bookmarkEnd w:id="134"/>
      <w:bookmarkEnd w:id="135"/>
      <w:bookmarkEnd w:id="136"/>
    </w:p>
    <w:p>
      <w:pPr>
        <w:rPr>
          <w:rFonts w:hint="default" w:ascii="宋体" w:hAnsi="宋体" w:eastAsia="宋体" w:cs="Courier New"/>
          <w:color w:val="000000"/>
          <w:kern w:val="2"/>
          <w:sz w:val="24"/>
          <w:szCs w:val="24"/>
          <w:lang w:val="en-US" w:eastAsia="zh-CN" w:bidi="ar-SA"/>
        </w:rPr>
      </w:pPr>
      <w:r>
        <w:rPr>
          <w:rFonts w:hint="eastAsia" w:ascii="宋体" w:hAnsi="宋体" w:eastAsia="宋体" w:cs="Courier New"/>
          <w:color w:val="000000"/>
          <w:kern w:val="2"/>
          <w:sz w:val="24"/>
          <w:szCs w:val="24"/>
          <w:lang w:val="en-US" w:eastAsia="zh-CN" w:bidi="ar-SA"/>
        </w:rPr>
        <w:t>一、采购清单</w:t>
      </w:r>
    </w:p>
    <w:tbl>
      <w:tblPr>
        <w:tblStyle w:val="3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602"/>
        <w:gridCol w:w="2306"/>
        <w:gridCol w:w="461"/>
        <w:gridCol w:w="546"/>
        <w:gridCol w:w="673"/>
        <w:gridCol w:w="3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材质</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参考品牌/产地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财源滚滚</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DN40涌泉</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喷泉主管道</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浙江万通/浙江玉巷/浙江金信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喷泉供水管道</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浙江万通/浙江玉巷/浙江金信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喷泉均水管道</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fldChar w:fldCharType="begin"/>
            </w:r>
            <w:r>
              <w:rPr>
                <w:rFonts w:hint="eastAsia" w:ascii="宋体" w:hAnsi="宋体" w:eastAsia="宋体" w:cs="宋体"/>
                <w:i w:val="0"/>
                <w:iCs w:val="0"/>
                <w:color w:val="000000"/>
                <w:kern w:val="0"/>
                <w:sz w:val="22"/>
                <w:szCs w:val="22"/>
                <w:u w:val="none"/>
                <w:lang w:val="en-US" w:eastAsia="zh-CN" w:bidi="ar"/>
              </w:rPr>
              <w:instrText xml:space="preserve"> HYPERLINK "mailto:DN80@100mm开孔20mm" \o "mailto:DN80@100mm开孔20mm" </w:instrText>
            </w:r>
            <w:r>
              <w:rPr>
                <w:rFonts w:hint="eastAsia" w:ascii="宋体" w:hAnsi="宋体" w:eastAsia="宋体" w:cs="宋体"/>
                <w:i w:val="0"/>
                <w:iCs w:val="0"/>
                <w:color w:val="000000"/>
                <w:kern w:val="0"/>
                <w:sz w:val="22"/>
                <w:szCs w:val="22"/>
                <w:u w:val="none"/>
                <w:lang w:val="en-US" w:eastAsia="zh-CN" w:bidi="ar"/>
              </w:rPr>
              <w:fldChar w:fldCharType="separate"/>
            </w:r>
            <w:r>
              <w:rPr>
                <w:rFonts w:hint="eastAsia" w:ascii="宋体" w:hAnsi="宋体" w:eastAsia="宋体" w:cs="宋体"/>
                <w:i w:val="0"/>
                <w:iCs w:val="0"/>
                <w:color w:val="000000"/>
                <w:kern w:val="0"/>
                <w:sz w:val="22"/>
                <w:szCs w:val="22"/>
                <w:u w:val="none"/>
                <w:lang w:val="en-US" w:eastAsia="zh-CN" w:bidi="ar"/>
              </w:rPr>
              <w:t>DN80@100mm开孔20mm</w:t>
            </w:r>
            <w:r>
              <w:rPr>
                <w:rFonts w:hint="eastAsia" w:ascii="宋体" w:hAnsi="宋体" w:eastAsia="宋体" w:cs="宋体"/>
                <w:i w:val="0"/>
                <w:iCs w:val="0"/>
                <w:color w:val="000000"/>
                <w:kern w:val="0"/>
                <w:sz w:val="22"/>
                <w:szCs w:val="22"/>
                <w:u w:val="none"/>
                <w:lang w:val="en-US" w:eastAsia="zh-CN" w:bidi="ar"/>
              </w:rPr>
              <w:fldChar w:fldCharType="end"/>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喷泉单丝支管</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喷泉双丝支管</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浙江万通/浙江玉巷/浙江金信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调压阀</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浙江玉泰/浙江昌一/浙江德胜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泄水阀</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浙江玉泰/浙江昌一/浙江德胜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止回阀</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浙江玉泰/浙江昌一/浙江德胜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喷泉专用泵</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6SP60-1(2.2KW)</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浙江MILANO/沃达普斯/德仕比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喷泉专用泵</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6SP60-2-2(3KW)</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浙江MILANO/沃达普斯/德仕比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水泵网罩</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水下彩灯</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七彩LED/24V/18W</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水下彩灯底座</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中空彩灯</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七彩LED/24V/12W</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彩灯水下电缆</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无锡中煤/无锡誉恒/无锡远东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水泵水下电缆</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3*2.5+1*1.5</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YZ</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无锡中煤/无锡誉恒/无锡远东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程控</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4KW</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日本东芝/日本三垦/施耐德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彩灯低压变压器</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浙江正泰/施耐德/华辰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管道法兰</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水泵法兰</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水泵接头</w:t>
            </w:r>
          </w:p>
        </w:tc>
        <w:tc>
          <w:tcPr>
            <w:tcW w:w="1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w:t>
            </w: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江苏秋羽/江苏双龙/宜兴凯威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防水绝缘胶带</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辅助材料</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螺丝、螺帽、焊条、弯头等</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0"/>
                <w:sz w:val="22"/>
                <w:szCs w:val="22"/>
                <w:u w:val="none"/>
                <w:lang w:val="en-US" w:eastAsia="zh-CN" w:bidi="ar"/>
              </w:rPr>
            </w:pP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喷泉电源电缆含桥架</w:t>
            </w:r>
          </w:p>
        </w:tc>
        <w:tc>
          <w:tcPr>
            <w:tcW w:w="1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YJV3*10+2*6</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无锡中煤/无锡誉恒/无锡远东</w:t>
            </w:r>
          </w:p>
        </w:tc>
      </w:tr>
    </w:tbl>
    <w:p>
      <w:pPr>
        <w:bidi w:val="0"/>
        <w:jc w:val="center"/>
        <w:rPr>
          <w:rFonts w:hint="eastAsia"/>
          <w:b/>
          <w:bCs/>
          <w:sz w:val="44"/>
          <w:szCs w:val="44"/>
        </w:rPr>
      </w:pPr>
    </w:p>
    <w:p>
      <w:pPr>
        <w:pStyle w:val="2"/>
        <w:rPr>
          <w:rFonts w:hint="eastAsia" w:ascii="宋体" w:hAnsi="宋体" w:eastAsia="宋体" w:cs="Arial"/>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Arial"/>
          <w:b w:val="0"/>
          <w:bCs w:val="0"/>
          <w:color w:val="000000" w:themeColor="text1"/>
          <w:kern w:val="0"/>
          <w:sz w:val="24"/>
          <w:szCs w:val="24"/>
          <w:lang w:val="en-US" w:eastAsia="zh-CN" w:bidi="ar-SA"/>
          <w14:textFill>
            <w14:solidFill>
              <w14:schemeClr w14:val="tx1"/>
            </w14:solidFill>
          </w14:textFill>
        </w:rPr>
        <w:t>注：投标人投标时应选择参考品牌/厂商,如果选用非参考品牌/厂商的，由投标人提供所投品牌/厂商优于或相当于参考品牌/厂商的佐证材料，如必须说明的技术参数，以及使用的材料清单等，供评标委员会认定；投标人对招标文件有疑义的必须在答疑截止日期前以书面方式向采购人提出，采购人认为合理的，将以招标文件答疑方式告知所有投标人。如在答疑截止日前未提出疑义的视同完全认同招标文件所有条款。</w:t>
      </w:r>
    </w:p>
    <w:p>
      <w:pPr>
        <w:rPr>
          <w:rFonts w:hint="default" w:ascii="宋体" w:hAnsi="宋体" w:eastAsia="宋体" w:cs="Arial"/>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Arial"/>
          <w:b w:val="0"/>
          <w:bCs w:val="0"/>
          <w:color w:val="000000" w:themeColor="text1"/>
          <w:kern w:val="0"/>
          <w:sz w:val="24"/>
          <w:szCs w:val="24"/>
          <w:lang w:val="en-US" w:eastAsia="zh-CN" w:bidi="ar-SA"/>
          <w14:textFill>
            <w14:solidFill>
              <w14:schemeClr w14:val="tx1"/>
            </w14:solidFill>
          </w14:textFill>
        </w:rPr>
        <w:t>二、本项目质保期两年。</w:t>
      </w:r>
    </w:p>
    <w:p>
      <w:pPr>
        <w:rPr>
          <w:rFonts w:hint="eastAsia"/>
          <w:b/>
          <w:bCs/>
          <w:sz w:val="44"/>
          <w:szCs w:val="44"/>
        </w:rPr>
      </w:pPr>
    </w:p>
    <w:p>
      <w:pPr>
        <w:pStyle w:val="2"/>
        <w:rPr>
          <w:rFonts w:hint="eastAsia"/>
          <w:b/>
          <w:bCs/>
          <w:sz w:val="44"/>
          <w:szCs w:val="44"/>
        </w:rPr>
      </w:pPr>
    </w:p>
    <w:p>
      <w:pPr>
        <w:rPr>
          <w:rFonts w:hint="eastAsia"/>
          <w:b/>
          <w:bCs/>
          <w:sz w:val="44"/>
          <w:szCs w:val="44"/>
        </w:rPr>
      </w:pPr>
    </w:p>
    <w:p>
      <w:pPr>
        <w:pStyle w:val="2"/>
        <w:rPr>
          <w:rFonts w:hint="eastAsia"/>
        </w:rPr>
      </w:pPr>
    </w:p>
    <w:p>
      <w:pPr>
        <w:bidi w:val="0"/>
        <w:jc w:val="center"/>
        <w:rPr>
          <w:rFonts w:hint="eastAsia"/>
          <w:b/>
          <w:bCs/>
          <w:sz w:val="44"/>
          <w:szCs w:val="44"/>
        </w:rPr>
      </w:pPr>
    </w:p>
    <w:p>
      <w:pPr>
        <w:bidi w:val="0"/>
        <w:jc w:val="center"/>
        <w:rPr>
          <w:rFonts w:hint="eastAsia"/>
          <w:b/>
          <w:bCs/>
          <w:sz w:val="44"/>
          <w:szCs w:val="44"/>
        </w:rPr>
      </w:pPr>
    </w:p>
    <w:p>
      <w:pPr>
        <w:bidi w:val="0"/>
        <w:jc w:val="both"/>
        <w:rPr>
          <w:rFonts w:hint="eastAsia"/>
          <w:b/>
          <w:bCs/>
          <w:sz w:val="44"/>
          <w:szCs w:val="44"/>
        </w:rPr>
      </w:pPr>
    </w:p>
    <w:p>
      <w:pPr>
        <w:bidi w:val="0"/>
        <w:jc w:val="center"/>
      </w:pPr>
      <w:r>
        <w:rPr>
          <w:rFonts w:hint="eastAsia"/>
          <w:b/>
          <w:bCs/>
          <w:sz w:val="44"/>
          <w:szCs w:val="44"/>
        </w:rPr>
        <w:t>第五章</w:t>
      </w:r>
      <w:r>
        <w:rPr>
          <w:b/>
          <w:bCs/>
          <w:sz w:val="44"/>
          <w:szCs w:val="44"/>
        </w:rPr>
        <w:t xml:space="preserve">  </w:t>
      </w:r>
      <w:r>
        <w:rPr>
          <w:rFonts w:hint="eastAsia"/>
          <w:b/>
          <w:bCs/>
          <w:sz w:val="44"/>
          <w:szCs w:val="44"/>
        </w:rPr>
        <w:t>评标方法与评标标准</w:t>
      </w:r>
    </w:p>
    <w:p>
      <w:pPr>
        <w:snapToGrid w:val="0"/>
        <w:spacing w:line="500" w:lineRule="exact"/>
        <w:ind w:firstLine="482" w:firstLineChars="200"/>
        <w:rPr>
          <w:rFonts w:ascii="宋体" w:cs="Courier New"/>
          <w:b/>
          <w:bCs/>
          <w:color w:val="000000" w:themeColor="text1"/>
          <w:sz w:val="24"/>
          <w:szCs w:val="24"/>
          <w14:textFill>
            <w14:solidFill>
              <w14:schemeClr w14:val="tx1"/>
            </w14:solidFill>
          </w14:textFill>
        </w:rPr>
      </w:pPr>
      <w:r>
        <w:rPr>
          <w:rFonts w:hint="eastAsia" w:ascii="宋体" w:hAnsi="宋体" w:cs="Courier New"/>
          <w:b/>
          <w:bCs/>
          <w:color w:val="000000" w:themeColor="text1"/>
          <w:sz w:val="24"/>
          <w:szCs w:val="24"/>
          <w14:textFill>
            <w14:solidFill>
              <w14:schemeClr w14:val="tx1"/>
            </w14:solidFill>
          </w14:textFill>
        </w:rPr>
        <w:t>一、评标方法与定标原则</w:t>
      </w:r>
    </w:p>
    <w:p>
      <w:pPr>
        <w:snapToGrid w:val="0"/>
        <w:spacing w:line="500" w:lineRule="exact"/>
        <w:ind w:firstLine="480" w:firstLineChars="200"/>
        <w:rPr>
          <w:rFonts w:ascii="宋体" w:cs="Arial"/>
          <w:color w:val="000000" w:themeColor="text1"/>
          <w:kern w:val="0"/>
          <w:sz w:val="24"/>
          <w:szCs w:val="24"/>
          <w14:textFill>
            <w14:solidFill>
              <w14:schemeClr w14:val="tx1"/>
            </w14:solidFill>
          </w14:textFill>
        </w:rPr>
      </w:pPr>
      <w:r>
        <w:rPr>
          <w:rFonts w:hint="eastAsia" w:ascii="宋体" w:hAnsi="宋体" w:cs="Courier New"/>
          <w:bCs/>
          <w:color w:val="000000" w:themeColor="text1"/>
          <w:sz w:val="24"/>
          <w:szCs w:val="24"/>
          <w14:textFill>
            <w14:solidFill>
              <w14:schemeClr w14:val="tx1"/>
            </w14:solidFill>
          </w14:textFill>
        </w:rPr>
        <w:t>本项目采用</w:t>
      </w:r>
      <w:r>
        <w:rPr>
          <w:rFonts w:hint="eastAsia" w:ascii="宋体" w:hAnsi="宋体" w:cs="Courier New"/>
          <w:bCs/>
          <w:color w:val="000000" w:themeColor="text1"/>
          <w:sz w:val="24"/>
          <w:szCs w:val="24"/>
          <w:lang w:val="en-US" w:eastAsia="zh-CN"/>
          <w14:textFill>
            <w14:solidFill>
              <w14:schemeClr w14:val="tx1"/>
            </w14:solidFill>
          </w14:textFill>
        </w:rPr>
        <w:t>综合评分</w:t>
      </w:r>
      <w:r>
        <w:rPr>
          <w:rFonts w:hint="eastAsia" w:ascii="宋体" w:hAnsi="宋体" w:cs="Courier New"/>
          <w:bCs/>
          <w:color w:val="000000" w:themeColor="text1"/>
          <w:sz w:val="24"/>
          <w:szCs w:val="24"/>
          <w14:textFill>
            <w14:solidFill>
              <w14:schemeClr w14:val="tx1"/>
            </w14:solidFill>
          </w14:textFill>
        </w:rPr>
        <w:t>法。</w:t>
      </w:r>
      <w:r>
        <w:rPr>
          <w:rFonts w:hint="eastAsia" w:ascii="宋体" w:hAnsi="宋体" w:cs="Arial"/>
          <w:color w:val="000000" w:themeColor="text1"/>
          <w:kern w:val="0"/>
          <w:sz w:val="24"/>
          <w:szCs w:val="24"/>
          <w14:textFill>
            <w14:solidFill>
              <w14:schemeClr w14:val="tx1"/>
            </w14:solidFill>
          </w14:textFill>
        </w:rPr>
        <w:t>投标文件满足招标文件全部实质性要求，且按照评审因素的量化指标评审得分最高的投标人为中标候选人。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hint="eastAsia"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评标结果按评审后得分由高到低顺序排列。得分相同的，按投标报价由低到高顺序排列。得分且投标报价相同的，由评标委员会组织通过抽签的方式确定中标候选人的排序。投标文件满足招标文件全部实质性要求，且按照评审因素的量化指标评审得分最高的投标人为排名第一的中标候选人。</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500" w:lineRule="exact"/>
        <w:ind w:right="-4" w:rightChars="-2" w:firstLine="480" w:firstLineChars="200"/>
        <w:rPr>
          <w:rFonts w:ascii="宋体" w:cs="Arial"/>
          <w:color w:val="FF0000"/>
          <w:kern w:val="0"/>
          <w:sz w:val="24"/>
          <w:szCs w:val="24"/>
        </w:rPr>
      </w:pPr>
      <w:r>
        <w:rPr>
          <w:rFonts w:hint="eastAsia" w:ascii="宋体" w:hAnsi="宋体"/>
          <w:bCs/>
          <w:color w:val="FF0000"/>
          <w:sz w:val="24"/>
        </w:rPr>
        <w:t>排名第一的中标候选人放弃中标，或因不可抗力提出不能履行合同，或者被查实存在影响中标结果的违法行为等情形，不符合中标条件的，本项目直接重新招标，不确定其他投标人为中标人。</w:t>
      </w:r>
    </w:p>
    <w:p>
      <w:pPr>
        <w:pStyle w:val="6"/>
        <w:spacing w:before="0" w:after="0" w:line="500" w:lineRule="exact"/>
        <w:ind w:firstLine="482"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二、对投标文件的初审</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投标文件初审分为资格审查和符合性审查。</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资格审查</w:t>
      </w:r>
    </w:p>
    <w:p>
      <w:pPr>
        <w:spacing w:line="500" w:lineRule="exact"/>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开标结束后，采购人或者采购代理机构依法对投标人的资格进行审查。</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审查投标文件中的资格、资信证明文件等，以确定投标人是否具备投标资格。（资格审查需提供的材料详见《资格信誉等证明文件要求》）</w:t>
      </w:r>
    </w:p>
    <w:p>
      <w:pPr>
        <w:spacing w:line="500" w:lineRule="exact"/>
        <w:ind w:firstLine="482" w:firstLineChars="200"/>
        <w:rPr>
          <w:rFonts w:asci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符合性审查</w:t>
      </w:r>
    </w:p>
    <w:p>
      <w:pPr>
        <w:spacing w:line="500" w:lineRule="exact"/>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评标委员会对符合资格的投标人的投标文件进行符合性审查。</w:t>
      </w:r>
    </w:p>
    <w:p>
      <w:pPr>
        <w:spacing w:line="50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依据招标文件的规定，从投标文件的有效性、完整性和对招标文件的响应程度进行审查，以确定其是否满足招标文件的实质性要求。</w:t>
      </w:r>
    </w:p>
    <w:p>
      <w:pPr>
        <w:spacing w:line="50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明确响应的投标应该是与招标文件要求的全部条款、条件和规格相符，没有重大偏离或保留的投标。</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标委员会按照少数服从多数的原则作出结论。认定</w:t>
      </w:r>
      <w:r>
        <w:rPr>
          <w:rFonts w:hint="eastAsia" w:ascii="宋体" w:hAnsi="宋体"/>
          <w:bCs/>
          <w:color w:val="000000" w:themeColor="text1"/>
          <w:sz w:val="24"/>
          <w:szCs w:val="24"/>
          <w14:textFill>
            <w14:solidFill>
              <w14:schemeClr w14:val="tx1"/>
            </w14:solidFill>
          </w14:textFill>
        </w:rPr>
        <w:t>评委决定投标文件的响应性只根据投标文件本身的内容，而不寻求外部的证据。</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如果投标文件没有明确响应招标文件的要求，评标委员会将按无效投标处理，投标人不得通过修改或撤销不合要求的偏离或保留而使其投标成为明确响应的投标。</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评标委员会将对确定为明确响应的投标进行进一步审核，</w:t>
      </w:r>
      <w:r>
        <w:rPr>
          <w:rFonts w:hint="eastAsia" w:ascii="宋体" w:hAnsi="宋体" w:cs="Arial"/>
          <w:color w:val="000000" w:themeColor="text1"/>
          <w:kern w:val="0"/>
          <w:sz w:val="24"/>
          <w:szCs w:val="24"/>
          <w14:textFill>
            <w14:solidFill>
              <w14:schemeClr w14:val="tx1"/>
            </w14:solidFill>
          </w14:textFill>
        </w:rPr>
        <w:t>投标文件报价出现前后不一致的，除招标文件另有规定外，按照下列规定修正：</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r>
        <w:rPr>
          <w:rFonts w:hint="eastAsia" w:ascii="宋体" w:hAnsi="宋体" w:cs="Arial"/>
          <w:color w:val="000000" w:themeColor="text1"/>
          <w:kern w:val="0"/>
          <w:sz w:val="24"/>
          <w:szCs w:val="24"/>
          <w14:textFill>
            <w14:solidFill>
              <w14:schemeClr w14:val="tx1"/>
            </w14:solidFill>
          </w14:textFill>
        </w:rPr>
        <w:t>投标文件中开标一览表内容与投标文件中相应内容不一致的，以开标一览表为准；</w:t>
      </w:r>
    </w:p>
    <w:p>
      <w:pPr>
        <w:keepNext w:val="0"/>
        <w:keepLines w:val="0"/>
        <w:pageBreakBefore w:val="0"/>
        <w:widowControl/>
        <w:kinsoku/>
        <w:wordWrap/>
        <w:overflowPunct/>
        <w:topLinePunct w:val="0"/>
        <w:autoSpaceDE/>
        <w:autoSpaceDN/>
        <w:bidi w:val="0"/>
        <w:adjustRightInd/>
        <w:snapToGrid/>
        <w:spacing w:before="100" w:beforeAutospacing="1" w:after="240" w:line="460" w:lineRule="exact"/>
        <w:contextualSpacing/>
        <w:jc w:val="left"/>
        <w:textAlignment w:val="auto"/>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2.</w:t>
      </w:r>
      <w:r>
        <w:rPr>
          <w:rFonts w:hint="eastAsia" w:ascii="宋体" w:hAnsi="宋体" w:cs="Arial"/>
          <w:color w:val="000000" w:themeColor="text1"/>
          <w:kern w:val="0"/>
          <w:sz w:val="24"/>
          <w:szCs w:val="24"/>
          <w14:textFill>
            <w14:solidFill>
              <w14:schemeClr w14:val="tx1"/>
            </w14:solidFill>
          </w14:textFill>
        </w:rPr>
        <w:t>大写金额和小写金额不一致的，以大写金额为准；</w:t>
      </w:r>
    </w:p>
    <w:p>
      <w:pPr>
        <w:keepNext w:val="0"/>
        <w:keepLines w:val="0"/>
        <w:pageBreakBefore w:val="0"/>
        <w:widowControl/>
        <w:kinsoku/>
        <w:wordWrap/>
        <w:overflowPunct/>
        <w:topLinePunct w:val="0"/>
        <w:autoSpaceDE/>
        <w:autoSpaceDN/>
        <w:bidi w:val="0"/>
        <w:adjustRightInd/>
        <w:snapToGrid/>
        <w:spacing w:before="100" w:beforeAutospacing="1" w:after="240" w:line="460" w:lineRule="exact"/>
        <w:contextualSpacing/>
        <w:jc w:val="left"/>
        <w:textAlignment w:val="auto"/>
        <w:rPr>
          <w:rFonts w:asci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w:t>
      </w:r>
      <w:r>
        <w:rPr>
          <w:rFonts w:ascii="宋体" w:hAnsi="宋体"/>
          <w:bCs/>
          <w:color w:val="000000" w:themeColor="text1"/>
          <w:sz w:val="24"/>
          <w:szCs w:val="24"/>
          <w14:textFill>
            <w14:solidFill>
              <w14:schemeClr w14:val="tx1"/>
            </w14:solidFill>
          </w14:textFill>
        </w:rPr>
        <w:t>3.</w:t>
      </w:r>
      <w:r>
        <w:rPr>
          <w:rFonts w:hint="eastAsia" w:ascii="宋体" w:hAnsi="宋体" w:cs="Arial"/>
          <w:color w:val="000000" w:themeColor="text1"/>
          <w:kern w:val="0"/>
          <w:sz w:val="24"/>
          <w:szCs w:val="24"/>
          <w14:textFill>
            <w14:solidFill>
              <w14:schemeClr w14:val="tx1"/>
            </w14:solidFill>
          </w14:textFill>
        </w:rPr>
        <w:t>单价金额小数点或者百分比有明显错位的，以开标一览表的总价为准，并修改单价；</w:t>
      </w:r>
    </w:p>
    <w:p>
      <w:pPr>
        <w:keepNext w:val="0"/>
        <w:keepLines w:val="0"/>
        <w:pageBreakBefore w:val="0"/>
        <w:widowControl/>
        <w:kinsoku/>
        <w:wordWrap/>
        <w:overflowPunct/>
        <w:topLinePunct w:val="0"/>
        <w:autoSpaceDE/>
        <w:autoSpaceDN/>
        <w:bidi w:val="0"/>
        <w:adjustRightInd/>
        <w:snapToGrid/>
        <w:spacing w:before="100" w:beforeAutospacing="1" w:after="240" w:line="460" w:lineRule="exact"/>
        <w:contextualSpacing/>
        <w:jc w:val="left"/>
        <w:textAlignment w:val="auto"/>
        <w:rPr>
          <w:rFonts w:ascii="宋体" w:cs="Arial"/>
          <w:kern w:val="0"/>
          <w:sz w:val="24"/>
          <w:szCs w:val="24"/>
        </w:rPr>
      </w:pPr>
      <w:r>
        <w:rPr>
          <w:rFonts w:hint="eastAsia" w:ascii="宋体" w:hAnsi="宋体" w:cs="Arial"/>
          <w:color w:val="000000" w:themeColor="text1"/>
          <w:kern w:val="0"/>
          <w:sz w:val="24"/>
          <w:szCs w:val="24"/>
          <w14:textFill>
            <w14:solidFill>
              <w14:schemeClr w14:val="tx1"/>
            </w14:solidFill>
          </w14:textFill>
        </w:rPr>
        <w:t>　</w:t>
      </w:r>
      <w:r>
        <w:rPr>
          <w:rFonts w:hint="eastAsia" w:ascii="宋体" w:hAnsi="宋体" w:cs="Arial"/>
          <w:kern w:val="0"/>
          <w:sz w:val="24"/>
          <w:szCs w:val="24"/>
        </w:rPr>
        <w:t>　</w:t>
      </w:r>
      <w:r>
        <w:rPr>
          <w:rFonts w:ascii="宋体" w:hAnsi="宋体"/>
          <w:bCs/>
          <w:sz w:val="24"/>
          <w:szCs w:val="24"/>
        </w:rPr>
        <w:t>4.</w:t>
      </w:r>
      <w:r>
        <w:rPr>
          <w:rFonts w:hint="eastAsia" w:ascii="宋体" w:hAnsi="宋体" w:cs="Arial"/>
          <w:kern w:val="0"/>
          <w:sz w:val="24"/>
          <w:szCs w:val="24"/>
        </w:rPr>
        <w:t>总价金额与按单价汇总金额不一致的，以单价金额计算结果为准。</w:t>
      </w:r>
    </w:p>
    <w:p>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Arial"/>
          <w:kern w:val="0"/>
          <w:sz w:val="24"/>
          <w:szCs w:val="24"/>
        </w:rPr>
      </w:pPr>
      <w:r>
        <w:rPr>
          <w:rFonts w:hint="eastAsia" w:ascii="宋体" w:hAnsi="宋体"/>
          <w:bCs/>
          <w:sz w:val="24"/>
          <w:szCs w:val="24"/>
        </w:rPr>
        <w:t>评标委员会将按上述修正错误的方法调整投标文件中的投标报价，</w:t>
      </w:r>
      <w:r>
        <w:rPr>
          <w:rFonts w:hint="eastAsia" w:ascii="宋体" w:hAnsi="宋体" w:cs="Arial"/>
          <w:kern w:val="0"/>
          <w:sz w:val="24"/>
          <w:szCs w:val="24"/>
        </w:rPr>
        <w:t>修正后的报价应当采用书面形式，并加盖公章，或者由法定代表人或其授权的代表签字，经投标人确认后产生约束力，投标人不确认的，其投标无效。</w:t>
      </w:r>
    </w:p>
    <w:p>
      <w:pPr>
        <w:spacing w:line="360" w:lineRule="auto"/>
        <w:ind w:firstLine="480" w:firstLineChars="200"/>
        <w:rPr>
          <w:rFonts w:hint="eastAsia" w:ascii="宋体" w:hAnsi="宋体" w:cs="Arial"/>
          <w:color w:val="000000" w:themeColor="text1"/>
          <w:kern w:val="0"/>
          <w:sz w:val="24"/>
          <w:szCs w:val="24"/>
          <w14:textFill>
            <w14:solidFill>
              <w14:schemeClr w14:val="tx1"/>
            </w14:solidFill>
          </w14:textFill>
        </w:rPr>
      </w:pPr>
      <w:r>
        <w:rPr>
          <w:rFonts w:hint="eastAsia" w:ascii="宋体" w:hAnsi="宋体" w:cs="Arial"/>
          <w:kern w:val="0"/>
          <w:sz w:val="24"/>
          <w:szCs w:val="24"/>
        </w:rPr>
        <w:t>评标委员会认为投标人的报价明显低于其他通过符合性审查投标人的报价，有可能影响产品质量或者不能诚</w:t>
      </w:r>
      <w:r>
        <w:rPr>
          <w:rFonts w:hint="eastAsia" w:ascii="宋体" w:hAnsi="宋体" w:cs="Arial"/>
          <w:color w:val="000000" w:themeColor="text1"/>
          <w:kern w:val="0"/>
          <w:sz w:val="24"/>
          <w:szCs w:val="24"/>
          <w14:textFill>
            <w14:solidFill>
              <w14:schemeClr w14:val="tx1"/>
            </w14:solidFill>
          </w14:textFill>
        </w:rPr>
        <w:t>信履约的，应当要求其在评标现场合理的时间内提供书面说明，必要时提交相关证明材料；投标人不能证明其报价合理性的，评标委员会应当将其作为无效投标处理。</w:t>
      </w:r>
    </w:p>
    <w:p>
      <w:pPr>
        <w:widowControl/>
        <w:spacing w:before="100" w:beforeAutospacing="1" w:after="240" w:line="360" w:lineRule="auto"/>
        <w:contextualSpacing/>
        <w:jc w:val="left"/>
        <w:rPr>
          <w:rFonts w:hint="default" w:ascii="宋体" w:hAnsi="宋体"/>
          <w:b/>
          <w:bCs w:val="0"/>
          <w:color w:val="auto"/>
          <w:sz w:val="24"/>
          <w:szCs w:val="24"/>
          <w:lang w:val="en-US" w:eastAsia="zh-CN"/>
        </w:rPr>
      </w:pPr>
      <w:r>
        <w:rPr>
          <w:rFonts w:hint="eastAsia" w:ascii="宋体" w:hAnsi="宋体"/>
          <w:b/>
          <w:bCs w:val="0"/>
          <w:color w:val="auto"/>
          <w:sz w:val="24"/>
          <w:szCs w:val="24"/>
          <w:lang w:val="en-US" w:eastAsia="zh-CN"/>
        </w:rPr>
        <w:t>三、评分标准</w:t>
      </w:r>
    </w:p>
    <w:p>
      <w:pPr>
        <w:widowControl/>
        <w:spacing w:before="100" w:beforeAutospacing="1" w:after="240" w:line="360" w:lineRule="auto"/>
        <w:contextualSpacing/>
        <w:jc w:val="left"/>
        <w:rPr>
          <w:rFonts w:hint="eastAsia" w:ascii="宋体" w:hAnsi="宋体"/>
          <w:bCs/>
          <w:sz w:val="24"/>
          <w:szCs w:val="24"/>
          <w:lang w:val="en-US" w:eastAsia="zh-CN"/>
        </w:rPr>
      </w:pPr>
      <w:r>
        <w:rPr>
          <w:rFonts w:hint="eastAsia" w:ascii="宋体" w:hAnsi="宋体"/>
          <w:bCs/>
          <w:sz w:val="24"/>
          <w:szCs w:val="24"/>
          <w:lang w:val="en-US" w:eastAsia="zh-CN"/>
        </w:rPr>
        <w:t>本项目评分总分值为100分</w:t>
      </w:r>
    </w:p>
    <w:tbl>
      <w:tblPr>
        <w:tblStyle w:val="34"/>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1" w:type="dxa"/>
            <w:noWrap w:val="0"/>
            <w:vAlign w:val="top"/>
          </w:tcPr>
          <w:p>
            <w:pPr>
              <w:spacing w:line="460" w:lineRule="exact"/>
              <w:jc w:val="center"/>
              <w:rPr>
                <w:sz w:val="24"/>
                <w:highlight w:val="none"/>
              </w:rPr>
            </w:pPr>
            <w:r>
              <w:rPr>
                <w:b/>
                <w:bCs/>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1" w:type="dxa"/>
            <w:noWrap w:val="0"/>
            <w:vAlign w:val="center"/>
          </w:tcPr>
          <w:p>
            <w:pPr>
              <w:shd w:val="clear" w:color="auto" w:fill="FFFFFF"/>
              <w:spacing w:line="400" w:lineRule="exact"/>
              <w:jc w:val="left"/>
              <w:rPr>
                <w:sz w:val="24"/>
                <w:highlight w:val="none"/>
              </w:rPr>
            </w:pPr>
            <w:r>
              <w:rPr>
                <w:b/>
                <w:bCs/>
                <w:sz w:val="24"/>
                <w:highlight w:val="none"/>
              </w:rPr>
              <w:t>一、投标报价（</w:t>
            </w:r>
            <w:r>
              <w:rPr>
                <w:rFonts w:hint="eastAsia"/>
                <w:b/>
                <w:bCs/>
                <w:sz w:val="24"/>
                <w:highlight w:val="none"/>
                <w:lang w:val="en-US" w:eastAsia="zh-CN"/>
              </w:rPr>
              <w:t>3</w:t>
            </w:r>
            <w:r>
              <w:rPr>
                <w:b/>
                <w:bCs/>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9151" w:type="dxa"/>
            <w:noWrap w:val="0"/>
            <w:vAlign w:val="center"/>
          </w:tcPr>
          <w:p>
            <w:pPr>
              <w:snapToGrid w:val="0"/>
              <w:spacing w:line="400" w:lineRule="exact"/>
              <w:ind w:firstLine="480" w:firstLineChars="200"/>
              <w:rPr>
                <w:color w:val="000000"/>
                <w:kern w:val="0"/>
                <w:sz w:val="24"/>
                <w:highlight w:val="none"/>
              </w:rPr>
            </w:pPr>
            <w:r>
              <w:rPr>
                <w:rFonts w:hint="eastAsia"/>
                <w:color w:val="000000"/>
                <w:kern w:val="0"/>
                <w:sz w:val="24"/>
                <w:highlight w:val="none"/>
              </w:rPr>
              <w:t>满足招标文件要求且投标价格最低的投标报价为评标基准价，其价格分为满分。其他投标人的价格分统一按照下列公式计算：</w:t>
            </w:r>
          </w:p>
          <w:p>
            <w:pPr>
              <w:snapToGrid w:val="0"/>
              <w:spacing w:line="400" w:lineRule="exact"/>
              <w:ind w:firstLine="480" w:firstLineChars="200"/>
              <w:rPr>
                <w:color w:val="000000"/>
                <w:kern w:val="0"/>
                <w:sz w:val="24"/>
                <w:highlight w:val="none"/>
              </w:rPr>
            </w:pPr>
            <w:r>
              <w:rPr>
                <w:rFonts w:hint="eastAsia"/>
                <w:color w:val="000000"/>
                <w:kern w:val="0"/>
                <w:sz w:val="24"/>
                <w:highlight w:val="none"/>
              </w:rPr>
              <w:t>投标报价得分=(评标基准价／投标报价)×</w:t>
            </w:r>
            <w:r>
              <w:rPr>
                <w:rFonts w:hint="eastAsia"/>
                <w:color w:val="000000"/>
                <w:kern w:val="0"/>
                <w:sz w:val="24"/>
                <w:highlight w:val="none"/>
                <w:lang w:val="en-US" w:eastAsia="zh-CN"/>
              </w:rPr>
              <w:t>3</w:t>
            </w:r>
            <w:r>
              <w:rPr>
                <w:rFonts w:hint="eastAsia"/>
                <w:color w:val="000000"/>
                <w:kern w:val="0"/>
                <w:sz w:val="24"/>
                <w:highlight w:val="none"/>
              </w:rPr>
              <w:t>0（该结果四舍五入，保留两位小数）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1" w:type="dxa"/>
            <w:noWrap w:val="0"/>
            <w:vAlign w:val="center"/>
          </w:tcPr>
          <w:p>
            <w:pPr>
              <w:autoSpaceDE w:val="0"/>
              <w:autoSpaceDN w:val="0"/>
              <w:adjustRightInd w:val="0"/>
              <w:spacing w:line="400" w:lineRule="exact"/>
              <w:rPr>
                <w:bCs/>
                <w:color w:val="000000"/>
                <w:sz w:val="24"/>
                <w:highlight w:val="none"/>
              </w:rPr>
            </w:pPr>
            <w:r>
              <w:rPr>
                <w:rFonts w:hint="eastAsia"/>
                <w:b/>
                <w:bCs/>
                <w:sz w:val="24"/>
                <w:highlight w:val="none"/>
                <w:lang w:val="en-US" w:eastAsia="zh-CN"/>
              </w:rPr>
              <w:t>二</w:t>
            </w:r>
            <w:r>
              <w:rPr>
                <w:b/>
                <w:bCs/>
                <w:sz w:val="24"/>
                <w:highlight w:val="none"/>
              </w:rPr>
              <w:t>、</w:t>
            </w:r>
            <w:r>
              <w:rPr>
                <w:rFonts w:hint="eastAsia"/>
                <w:b/>
                <w:bCs/>
                <w:sz w:val="24"/>
                <w:highlight w:val="none"/>
                <w:lang w:val="en-US" w:eastAsia="zh-CN"/>
              </w:rPr>
              <w:t>实施</w:t>
            </w:r>
            <w:r>
              <w:rPr>
                <w:b/>
                <w:bCs/>
                <w:sz w:val="24"/>
                <w:highlight w:val="none"/>
              </w:rPr>
              <w:t>方案（</w:t>
            </w:r>
            <w:r>
              <w:rPr>
                <w:rFonts w:hint="eastAsia"/>
                <w:b/>
                <w:bCs/>
                <w:sz w:val="24"/>
                <w:highlight w:val="none"/>
                <w:lang w:val="en-US" w:eastAsia="zh-CN"/>
              </w:rPr>
              <w:t>6</w:t>
            </w:r>
            <w:r>
              <w:rPr>
                <w:rFonts w:hint="eastAsia"/>
                <w:b/>
                <w:bCs/>
                <w:sz w:val="24"/>
                <w:highlight w:val="none"/>
              </w:rPr>
              <w:t>0</w:t>
            </w:r>
            <w:r>
              <w:rPr>
                <w:b/>
                <w:bCs/>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151" w:type="dxa"/>
            <w:noWrap w:val="0"/>
            <w:vAlign w:val="center"/>
          </w:tcPr>
          <w:p>
            <w:pPr>
              <w:snapToGrid w:val="0"/>
              <w:spacing w:line="500" w:lineRule="exact"/>
              <w:rPr>
                <w:rFonts w:ascii="宋体" w:hAnsi="宋体" w:cs="Arial"/>
                <w:color w:val="auto"/>
                <w:kern w:val="0"/>
                <w:sz w:val="24"/>
                <w:szCs w:val="24"/>
              </w:rPr>
            </w:pPr>
            <w:r>
              <w:rPr>
                <w:rFonts w:hint="eastAsia" w:ascii="宋体" w:hAnsi="宋体" w:cs="Arial"/>
                <w:color w:val="auto"/>
                <w:kern w:val="0"/>
                <w:sz w:val="24"/>
                <w:szCs w:val="24"/>
              </w:rPr>
              <w:t>评标委员会对投标人的项目实施方案方案进行独立评审。</w:t>
            </w:r>
          </w:p>
          <w:p>
            <w:pPr>
              <w:snapToGrid w:val="0"/>
              <w:spacing w:line="500" w:lineRule="exact"/>
              <w:rPr>
                <w:rFonts w:ascii="宋体" w:hAnsi="宋体" w:cs="Arial"/>
                <w:color w:val="auto"/>
                <w:kern w:val="0"/>
                <w:sz w:val="24"/>
                <w:szCs w:val="24"/>
              </w:rPr>
            </w:pPr>
            <w:r>
              <w:rPr>
                <w:rFonts w:hint="eastAsia" w:ascii="宋体" w:hAnsi="宋体" w:cs="Arial"/>
                <w:color w:val="auto"/>
                <w:kern w:val="0"/>
                <w:sz w:val="24"/>
                <w:szCs w:val="24"/>
              </w:rPr>
              <w:t>（1）评委对投标人所提供整体项目投标实施方案的完善性进行打分，内容完整得基本分</w:t>
            </w:r>
            <w:r>
              <w:rPr>
                <w:rFonts w:hint="eastAsia" w:ascii="宋体" w:hAnsi="宋体" w:cs="Arial"/>
                <w:color w:val="auto"/>
                <w:kern w:val="0"/>
                <w:sz w:val="24"/>
                <w:szCs w:val="24"/>
                <w:lang w:val="en-US" w:eastAsia="zh-CN"/>
              </w:rPr>
              <w:t>13</w:t>
            </w:r>
            <w:r>
              <w:rPr>
                <w:rFonts w:hint="eastAsia" w:ascii="宋体" w:hAnsi="宋体" w:cs="Arial"/>
                <w:color w:val="auto"/>
                <w:kern w:val="0"/>
                <w:sz w:val="24"/>
                <w:szCs w:val="24"/>
              </w:rPr>
              <w:t>分，加分区间 0-</w:t>
            </w:r>
            <w:r>
              <w:rPr>
                <w:rFonts w:hint="eastAsia" w:ascii="宋体" w:hAnsi="宋体" w:cs="Arial"/>
                <w:color w:val="auto"/>
                <w:kern w:val="0"/>
                <w:sz w:val="24"/>
                <w:szCs w:val="24"/>
                <w:lang w:val="en-US" w:eastAsia="zh-CN"/>
              </w:rPr>
              <w:t>2</w:t>
            </w:r>
            <w:r>
              <w:rPr>
                <w:rFonts w:hint="eastAsia" w:ascii="宋体" w:hAnsi="宋体" w:cs="Arial"/>
                <w:color w:val="auto"/>
                <w:kern w:val="0"/>
                <w:sz w:val="24"/>
                <w:szCs w:val="24"/>
              </w:rPr>
              <w:t>分，以0.1分为一个计分点；</w:t>
            </w:r>
          </w:p>
          <w:p>
            <w:pPr>
              <w:snapToGrid w:val="0"/>
              <w:spacing w:line="500" w:lineRule="exact"/>
              <w:rPr>
                <w:rFonts w:ascii="宋体" w:hAnsi="宋体" w:cs="Arial"/>
                <w:color w:val="auto"/>
                <w:kern w:val="0"/>
                <w:sz w:val="24"/>
                <w:szCs w:val="24"/>
              </w:rPr>
            </w:pPr>
            <w:r>
              <w:rPr>
                <w:rFonts w:hint="eastAsia" w:ascii="宋体" w:hAnsi="宋体" w:cs="Arial"/>
                <w:color w:val="auto"/>
                <w:kern w:val="0"/>
                <w:sz w:val="24"/>
                <w:szCs w:val="24"/>
              </w:rPr>
              <w:t>（2）供货计划、进度安排</w:t>
            </w:r>
            <w:r>
              <w:rPr>
                <w:rFonts w:hint="eastAsia" w:ascii="宋体" w:hAnsi="宋体" w:cs="Arial"/>
                <w:color w:val="auto"/>
                <w:kern w:val="0"/>
                <w:sz w:val="24"/>
                <w:szCs w:val="24"/>
                <w:lang w:eastAsia="zh-CN"/>
              </w:rPr>
              <w:t>、</w:t>
            </w:r>
            <w:r>
              <w:rPr>
                <w:rFonts w:hint="eastAsia" w:ascii="宋体" w:hAnsi="宋体" w:cs="Arial"/>
                <w:color w:val="auto"/>
                <w:kern w:val="0"/>
                <w:sz w:val="24"/>
                <w:szCs w:val="24"/>
                <w:lang w:val="en-US" w:eastAsia="zh-CN"/>
              </w:rPr>
              <w:t>安装计划</w:t>
            </w:r>
            <w:r>
              <w:rPr>
                <w:rFonts w:hint="eastAsia" w:ascii="宋体" w:hAnsi="宋体" w:cs="Arial"/>
                <w:color w:val="auto"/>
                <w:kern w:val="0"/>
                <w:sz w:val="24"/>
                <w:szCs w:val="24"/>
              </w:rPr>
              <w:t>等严谨合理，符合使用单位要求，得基本分</w:t>
            </w:r>
            <w:r>
              <w:rPr>
                <w:rFonts w:hint="eastAsia" w:ascii="宋体" w:hAnsi="宋体" w:cs="Arial"/>
                <w:color w:val="auto"/>
                <w:kern w:val="0"/>
                <w:sz w:val="24"/>
                <w:szCs w:val="24"/>
                <w:lang w:val="en-US" w:eastAsia="zh-CN"/>
              </w:rPr>
              <w:t>13</w:t>
            </w:r>
            <w:r>
              <w:rPr>
                <w:rFonts w:hint="eastAsia" w:ascii="宋体" w:hAnsi="宋体" w:cs="Arial"/>
                <w:color w:val="auto"/>
                <w:kern w:val="0"/>
                <w:sz w:val="24"/>
                <w:szCs w:val="24"/>
              </w:rPr>
              <w:t>分，加分区间 0-</w:t>
            </w:r>
            <w:r>
              <w:rPr>
                <w:rFonts w:hint="eastAsia" w:ascii="宋体" w:hAnsi="宋体" w:cs="Arial"/>
                <w:color w:val="auto"/>
                <w:kern w:val="0"/>
                <w:sz w:val="24"/>
                <w:szCs w:val="24"/>
                <w:lang w:val="en-US" w:eastAsia="zh-CN"/>
              </w:rPr>
              <w:t>2</w:t>
            </w:r>
            <w:r>
              <w:rPr>
                <w:rFonts w:hint="eastAsia" w:ascii="宋体" w:hAnsi="宋体" w:cs="Arial"/>
                <w:color w:val="auto"/>
                <w:kern w:val="0"/>
                <w:sz w:val="24"/>
                <w:szCs w:val="24"/>
              </w:rPr>
              <w:t>分，以0.1分为一个计分点；</w:t>
            </w:r>
          </w:p>
          <w:p>
            <w:pPr>
              <w:snapToGrid w:val="0"/>
              <w:spacing w:line="500" w:lineRule="exact"/>
              <w:rPr>
                <w:rFonts w:ascii="宋体" w:hAnsi="宋体" w:cs="Arial"/>
                <w:color w:val="auto"/>
                <w:kern w:val="0"/>
                <w:sz w:val="24"/>
                <w:szCs w:val="24"/>
              </w:rPr>
            </w:pPr>
            <w:r>
              <w:rPr>
                <w:rFonts w:hint="eastAsia" w:ascii="宋体" w:hAnsi="宋体" w:cs="Arial"/>
                <w:color w:val="auto"/>
                <w:kern w:val="0"/>
                <w:sz w:val="24"/>
                <w:szCs w:val="24"/>
              </w:rPr>
              <w:t>（3）有详细的培训计划的得基本</w:t>
            </w:r>
            <w:r>
              <w:rPr>
                <w:rFonts w:hint="eastAsia" w:ascii="宋体" w:hAnsi="宋体" w:cs="Arial"/>
                <w:color w:val="auto"/>
                <w:kern w:val="0"/>
                <w:sz w:val="24"/>
                <w:szCs w:val="24"/>
                <w:lang w:val="en-US" w:eastAsia="zh-CN"/>
              </w:rPr>
              <w:t>分13</w:t>
            </w:r>
            <w:r>
              <w:rPr>
                <w:rFonts w:hint="eastAsia" w:ascii="宋体" w:hAnsi="宋体" w:cs="Arial"/>
                <w:color w:val="auto"/>
                <w:kern w:val="0"/>
                <w:sz w:val="24"/>
                <w:szCs w:val="24"/>
              </w:rPr>
              <w:t>分，加分区间0-</w:t>
            </w:r>
            <w:r>
              <w:rPr>
                <w:rFonts w:hint="eastAsia" w:ascii="宋体" w:hAnsi="宋体" w:cs="Arial"/>
                <w:color w:val="auto"/>
                <w:kern w:val="0"/>
                <w:sz w:val="24"/>
                <w:szCs w:val="24"/>
                <w:lang w:val="en-US" w:eastAsia="zh-CN"/>
              </w:rPr>
              <w:t>2</w:t>
            </w:r>
            <w:r>
              <w:rPr>
                <w:rFonts w:hint="eastAsia" w:ascii="宋体" w:hAnsi="宋体" w:cs="Arial"/>
                <w:color w:val="auto"/>
                <w:kern w:val="0"/>
                <w:sz w:val="24"/>
                <w:szCs w:val="24"/>
              </w:rPr>
              <w:t>分，以0.1分为一个计分点；</w:t>
            </w:r>
          </w:p>
          <w:p>
            <w:pPr>
              <w:spacing w:line="520" w:lineRule="exact"/>
              <w:rPr>
                <w:rFonts w:hint="eastAsia" w:eastAsia="仿宋_GB2312"/>
                <w:highlight w:val="none"/>
                <w:lang w:eastAsia="zh-CN"/>
              </w:rPr>
            </w:pPr>
            <w:r>
              <w:rPr>
                <w:rFonts w:hint="eastAsia" w:ascii="宋体" w:hAnsi="宋体" w:cs="Arial"/>
                <w:color w:val="auto"/>
                <w:kern w:val="0"/>
                <w:sz w:val="24"/>
                <w:szCs w:val="24"/>
              </w:rPr>
              <w:t>（4）有详细得售后服务方案的得基本分</w:t>
            </w:r>
            <w:r>
              <w:rPr>
                <w:rFonts w:hint="eastAsia" w:ascii="宋体" w:hAnsi="宋体" w:cs="Arial"/>
                <w:color w:val="auto"/>
                <w:kern w:val="0"/>
                <w:sz w:val="24"/>
                <w:szCs w:val="24"/>
                <w:lang w:val="en-US" w:eastAsia="zh-CN"/>
              </w:rPr>
              <w:t>13</w:t>
            </w:r>
            <w:r>
              <w:rPr>
                <w:rFonts w:hint="eastAsia" w:ascii="宋体" w:hAnsi="宋体" w:cs="Arial"/>
                <w:color w:val="auto"/>
                <w:kern w:val="0"/>
                <w:sz w:val="24"/>
                <w:szCs w:val="24"/>
              </w:rPr>
              <w:t>分，加分区间0-</w:t>
            </w:r>
            <w:r>
              <w:rPr>
                <w:rFonts w:hint="eastAsia" w:ascii="宋体" w:hAnsi="宋体" w:cs="Arial"/>
                <w:color w:val="auto"/>
                <w:kern w:val="0"/>
                <w:sz w:val="24"/>
                <w:szCs w:val="24"/>
                <w:lang w:val="en-US" w:eastAsia="zh-CN"/>
              </w:rPr>
              <w:t>2</w:t>
            </w:r>
            <w:r>
              <w:rPr>
                <w:rFonts w:hint="eastAsia" w:ascii="宋体" w:hAnsi="宋体" w:cs="Arial"/>
                <w:color w:val="auto"/>
                <w:kern w:val="0"/>
                <w:sz w:val="24"/>
                <w:szCs w:val="24"/>
              </w:rPr>
              <w:t>分，以0.1分为一个计分点；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151" w:type="dxa"/>
            <w:noWrap w:val="0"/>
            <w:vAlign w:val="center"/>
          </w:tcPr>
          <w:p>
            <w:pPr>
              <w:pStyle w:val="32"/>
              <w:ind w:left="0" w:leftChars="0" w:firstLine="0" w:firstLineChars="0"/>
              <w:rPr>
                <w:rFonts w:hint="default" w:ascii="宋体" w:hAnsi="宋体" w:eastAsia="宋体" w:cs="宋体"/>
                <w:kern w:val="0"/>
                <w:sz w:val="24"/>
                <w:szCs w:val="21"/>
                <w:highlight w:val="none"/>
                <w:lang w:val="en-US" w:eastAsia="zh-CN"/>
              </w:rPr>
            </w:pPr>
            <w:r>
              <w:rPr>
                <w:rFonts w:hint="eastAsia" w:ascii="宋体" w:hAnsi="宋体" w:eastAsia="宋体" w:cs="宋体"/>
                <w:b/>
                <w:bCs/>
                <w:kern w:val="0"/>
                <w:sz w:val="24"/>
                <w:szCs w:val="21"/>
                <w:highlight w:val="none"/>
                <w:lang w:val="en-US" w:eastAsia="zh-CN"/>
              </w:rPr>
              <w:t>三、业绩（10分）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9151" w:type="dxa"/>
            <w:noWrap w:val="0"/>
            <w:vAlign w:val="center"/>
          </w:tcPr>
          <w:p>
            <w:pPr>
              <w:spacing w:line="480" w:lineRule="exact"/>
              <w:ind w:firstLine="540"/>
              <w:rPr>
                <w:rFonts w:hint="eastAsia" w:ascii="宋体" w:hAnsi="宋体" w:eastAsia="宋体" w:cs="宋体"/>
                <w:kern w:val="0"/>
                <w:sz w:val="24"/>
                <w:szCs w:val="21"/>
                <w:highlight w:val="none"/>
              </w:rPr>
            </w:pPr>
            <w:r>
              <w:rPr>
                <w:rFonts w:hint="eastAsia" w:ascii="宋体" w:hAnsi="宋体" w:cs="宋体"/>
                <w:sz w:val="24"/>
                <w:szCs w:val="24"/>
                <w:highlight w:val="none"/>
              </w:rPr>
              <w:t>投标人投标时提供自201</w:t>
            </w:r>
            <w:r>
              <w:rPr>
                <w:rFonts w:hint="eastAsia" w:ascii="宋体" w:hAnsi="宋体" w:cs="宋体"/>
                <w:sz w:val="24"/>
                <w:szCs w:val="24"/>
                <w:highlight w:val="none"/>
                <w:lang w:val="en-US" w:eastAsia="zh-CN"/>
              </w:rPr>
              <w:t>9</w:t>
            </w:r>
            <w:r>
              <w:rPr>
                <w:rFonts w:hint="eastAsia" w:ascii="宋体" w:hAnsi="宋体" w:cs="宋体"/>
                <w:sz w:val="24"/>
                <w:szCs w:val="24"/>
                <w:highlight w:val="none"/>
              </w:rPr>
              <w:t>年1月1日以来（以合同签订时间为准）承担过</w:t>
            </w:r>
            <w:r>
              <w:rPr>
                <w:rFonts w:hint="eastAsia" w:ascii="宋体" w:hAnsi="宋体" w:cs="宋体"/>
                <w:sz w:val="24"/>
                <w:szCs w:val="24"/>
                <w:highlight w:val="none"/>
                <w:lang w:val="en-US" w:eastAsia="zh-CN"/>
              </w:rPr>
              <w:t>本项目</w:t>
            </w:r>
            <w:r>
              <w:rPr>
                <w:rFonts w:hint="eastAsia" w:ascii="宋体" w:hAnsi="宋体" w:cs="宋体"/>
                <w:sz w:val="24"/>
                <w:szCs w:val="24"/>
                <w:highlight w:val="none"/>
              </w:rPr>
              <w:t>类似业绩</w:t>
            </w:r>
            <w:r>
              <w:rPr>
                <w:rFonts w:hint="eastAsia" w:ascii="宋体" w:hAnsi="宋体" w:cs="宋体"/>
                <w:sz w:val="24"/>
                <w:szCs w:val="24"/>
                <w:highlight w:val="none"/>
                <w:lang w:eastAsia="zh-CN"/>
              </w:rPr>
              <w:t>的</w:t>
            </w:r>
            <w:r>
              <w:rPr>
                <w:rFonts w:hint="eastAsia" w:ascii="宋体" w:hAnsi="宋体" w:cs="宋体"/>
                <w:sz w:val="24"/>
                <w:szCs w:val="24"/>
                <w:highlight w:val="none"/>
                <w:lang w:val="en-US" w:eastAsia="zh-CN"/>
              </w:rPr>
              <w:t>有一个得5分，多提供一个加1分</w:t>
            </w:r>
            <w:r>
              <w:rPr>
                <w:rFonts w:hint="eastAsia" w:ascii="宋体" w:hAnsi="宋体" w:cs="宋体"/>
                <w:sz w:val="24"/>
                <w:szCs w:val="24"/>
                <w:highlight w:val="none"/>
              </w:rPr>
              <w:t>，</w:t>
            </w:r>
            <w:r>
              <w:rPr>
                <w:rFonts w:hint="eastAsia" w:ascii="宋体" w:hAnsi="宋体" w:cs="宋体"/>
                <w:sz w:val="24"/>
                <w:szCs w:val="24"/>
                <w:highlight w:val="none"/>
                <w:lang w:val="en-US" w:eastAsia="zh-CN"/>
              </w:rPr>
              <w:t>本项最多得10分，</w:t>
            </w:r>
            <w:r>
              <w:rPr>
                <w:rFonts w:hint="eastAsia" w:ascii="宋体" w:hAnsi="宋体" w:cs="宋体"/>
                <w:sz w:val="24"/>
                <w:szCs w:val="24"/>
                <w:highlight w:val="none"/>
              </w:rPr>
              <w:t>提供合同原件</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不提供不得分</w:t>
            </w:r>
            <w:r>
              <w:rPr>
                <w:rFonts w:hint="eastAsia" w:ascii="宋体" w:hAnsi="宋体" w:cs="宋体"/>
                <w:sz w:val="24"/>
                <w:szCs w:val="24"/>
                <w:highlight w:val="none"/>
              </w:rPr>
              <w:t>。</w:t>
            </w:r>
          </w:p>
        </w:tc>
      </w:tr>
    </w:tbl>
    <w:p>
      <w:pPr>
        <w:rPr>
          <w:rFonts w:hint="eastAsia"/>
        </w:rPr>
      </w:pPr>
    </w:p>
    <w:p>
      <w:pPr>
        <w:pStyle w:val="3"/>
        <w:spacing w:line="500" w:lineRule="exact"/>
        <w:rPr>
          <w:rFonts w:hint="eastAsia" w:ascii="宋体" w:hAnsi="宋体" w:eastAsia="宋体"/>
          <w:bCs/>
          <w:color w:val="000000" w:themeColor="text1"/>
          <w:sz w:val="36"/>
          <w:szCs w:val="36"/>
          <w14:textFill>
            <w14:solidFill>
              <w14:schemeClr w14:val="tx1"/>
            </w14:solidFill>
          </w14:textFill>
        </w:rPr>
      </w:pPr>
    </w:p>
    <w:p>
      <w:pPr>
        <w:rPr>
          <w:rFonts w:hint="eastAsia" w:ascii="宋体" w:hAnsi="宋体" w:eastAsia="宋体"/>
          <w:bCs/>
          <w:color w:val="000000" w:themeColor="text1"/>
          <w:sz w:val="36"/>
          <w:szCs w:val="36"/>
          <w14:textFill>
            <w14:solidFill>
              <w14:schemeClr w14:val="tx1"/>
            </w14:solidFill>
          </w14:textFill>
        </w:rPr>
      </w:pPr>
    </w:p>
    <w:p>
      <w:pPr>
        <w:pStyle w:val="32"/>
        <w:rPr>
          <w:rFonts w:hint="eastAsia" w:ascii="宋体" w:hAnsi="宋体" w:eastAsia="宋体"/>
          <w:bCs/>
          <w:color w:val="000000" w:themeColor="text1"/>
          <w:sz w:val="36"/>
          <w:szCs w:val="36"/>
          <w14:textFill>
            <w14:solidFill>
              <w14:schemeClr w14:val="tx1"/>
            </w14:solidFill>
          </w14:textFill>
        </w:rPr>
      </w:pPr>
    </w:p>
    <w:p>
      <w:pPr>
        <w:rPr>
          <w:rFonts w:hint="eastAsia" w:ascii="宋体" w:hAnsi="宋体" w:eastAsia="宋体"/>
          <w:bCs/>
          <w:color w:val="000000" w:themeColor="text1"/>
          <w:sz w:val="36"/>
          <w:szCs w:val="36"/>
          <w14:textFill>
            <w14:solidFill>
              <w14:schemeClr w14:val="tx1"/>
            </w14:solidFill>
          </w14:textFill>
        </w:rPr>
      </w:pPr>
    </w:p>
    <w:p>
      <w:pPr>
        <w:pStyle w:val="32"/>
        <w:rPr>
          <w:rFonts w:hint="eastAsia" w:ascii="宋体" w:hAnsi="宋体" w:eastAsia="宋体"/>
          <w:bCs/>
          <w:color w:val="000000" w:themeColor="text1"/>
          <w:sz w:val="36"/>
          <w:szCs w:val="36"/>
          <w14:textFill>
            <w14:solidFill>
              <w14:schemeClr w14:val="tx1"/>
            </w14:solidFill>
          </w14:textFill>
        </w:rPr>
      </w:pPr>
    </w:p>
    <w:p>
      <w:pPr>
        <w:rPr>
          <w:rFonts w:hint="eastAsia" w:ascii="宋体" w:hAnsi="宋体" w:eastAsia="宋体"/>
          <w:bCs/>
          <w:color w:val="000000" w:themeColor="text1"/>
          <w:sz w:val="36"/>
          <w:szCs w:val="36"/>
          <w14:textFill>
            <w14:solidFill>
              <w14:schemeClr w14:val="tx1"/>
            </w14:solidFill>
          </w14:textFill>
        </w:rPr>
      </w:pPr>
    </w:p>
    <w:p>
      <w:pPr>
        <w:pStyle w:val="32"/>
        <w:rPr>
          <w:rFonts w:hint="eastAsia" w:ascii="宋体" w:hAnsi="宋体" w:eastAsia="宋体"/>
          <w:bCs/>
          <w:color w:val="000000" w:themeColor="text1"/>
          <w:sz w:val="36"/>
          <w:szCs w:val="36"/>
          <w14:textFill>
            <w14:solidFill>
              <w14:schemeClr w14:val="tx1"/>
            </w14:solidFill>
          </w14:textFill>
        </w:rPr>
      </w:pPr>
    </w:p>
    <w:p>
      <w:pPr>
        <w:rPr>
          <w:rFonts w:hint="eastAsia" w:ascii="宋体" w:hAnsi="宋体" w:eastAsia="宋体"/>
          <w:bCs/>
          <w:color w:val="000000" w:themeColor="text1"/>
          <w:sz w:val="36"/>
          <w:szCs w:val="36"/>
          <w14:textFill>
            <w14:solidFill>
              <w14:schemeClr w14:val="tx1"/>
            </w14:solidFill>
          </w14:textFill>
        </w:rPr>
      </w:pPr>
    </w:p>
    <w:p>
      <w:pPr>
        <w:pStyle w:val="32"/>
        <w:rPr>
          <w:rFonts w:hint="eastAsia" w:ascii="宋体" w:hAnsi="宋体" w:eastAsia="宋体"/>
          <w:bCs/>
          <w:color w:val="000000" w:themeColor="text1"/>
          <w:sz w:val="36"/>
          <w:szCs w:val="36"/>
          <w14:textFill>
            <w14:solidFill>
              <w14:schemeClr w14:val="tx1"/>
            </w14:solidFill>
          </w14:textFill>
        </w:rPr>
      </w:pPr>
    </w:p>
    <w:p>
      <w:pPr>
        <w:rPr>
          <w:rFonts w:hint="eastAsia" w:ascii="宋体" w:hAnsi="宋体" w:eastAsia="宋体"/>
          <w:bCs/>
          <w:color w:val="000000" w:themeColor="text1"/>
          <w:sz w:val="36"/>
          <w:szCs w:val="36"/>
          <w14:textFill>
            <w14:solidFill>
              <w14:schemeClr w14:val="tx1"/>
            </w14:solidFill>
          </w14:textFill>
        </w:rPr>
      </w:pPr>
    </w:p>
    <w:p>
      <w:pPr>
        <w:pStyle w:val="32"/>
        <w:rPr>
          <w:rFonts w:hint="eastAsia" w:ascii="宋体" w:hAnsi="宋体" w:eastAsia="宋体"/>
          <w:bCs/>
          <w:color w:val="000000" w:themeColor="text1"/>
          <w:sz w:val="36"/>
          <w:szCs w:val="36"/>
          <w14:textFill>
            <w14:solidFill>
              <w14:schemeClr w14:val="tx1"/>
            </w14:solidFill>
          </w14:textFill>
        </w:rPr>
      </w:pPr>
    </w:p>
    <w:p>
      <w:pPr>
        <w:rPr>
          <w:rFonts w:hint="eastAsia"/>
        </w:rPr>
      </w:pPr>
    </w:p>
    <w:p>
      <w:pPr>
        <w:pStyle w:val="3"/>
        <w:spacing w:line="500" w:lineRule="exact"/>
        <w:rPr>
          <w:rFonts w:hint="eastAsia" w:ascii="宋体" w:hAnsi="宋体" w:eastAsia="宋体"/>
          <w:bCs/>
          <w:color w:val="000000" w:themeColor="text1"/>
          <w:sz w:val="36"/>
          <w:szCs w:val="36"/>
          <w14:textFill>
            <w14:solidFill>
              <w14:schemeClr w14:val="tx1"/>
            </w14:solidFill>
          </w14:textFill>
        </w:rPr>
      </w:pPr>
    </w:p>
    <w:p>
      <w:pPr>
        <w:pStyle w:val="3"/>
        <w:spacing w:line="500" w:lineRule="exact"/>
        <w:rPr>
          <w:rFonts w:hint="eastAsia" w:ascii="宋体" w:hAnsi="宋体" w:eastAsia="宋体"/>
          <w:bCs/>
          <w:color w:val="000000" w:themeColor="text1"/>
          <w:sz w:val="36"/>
          <w:szCs w:val="36"/>
          <w14:textFill>
            <w14:solidFill>
              <w14:schemeClr w14:val="tx1"/>
            </w14:solidFill>
          </w14:textFill>
        </w:rPr>
      </w:pPr>
    </w:p>
    <w:p>
      <w:pPr>
        <w:pStyle w:val="3"/>
        <w:spacing w:line="500" w:lineRule="exact"/>
        <w:rPr>
          <w:rFonts w:hint="eastAsia" w:ascii="宋体" w:hAnsi="宋体" w:eastAsia="宋体"/>
          <w:bCs/>
          <w:color w:val="000000" w:themeColor="text1"/>
          <w:sz w:val="36"/>
          <w:szCs w:val="36"/>
          <w14:textFill>
            <w14:solidFill>
              <w14:schemeClr w14:val="tx1"/>
            </w14:solidFill>
          </w14:textFill>
        </w:rPr>
      </w:pPr>
    </w:p>
    <w:p>
      <w:pPr>
        <w:rPr>
          <w:rFonts w:hint="eastAsia"/>
        </w:rPr>
      </w:pPr>
    </w:p>
    <w:p>
      <w:pPr>
        <w:pStyle w:val="3"/>
        <w:spacing w:line="500" w:lineRule="exact"/>
        <w:rPr>
          <w:rFonts w:ascii="宋体" w:hAnsi="宋体" w:eastAsia="宋体"/>
          <w:bCs/>
          <w:color w:val="000000" w:themeColor="text1"/>
          <w:sz w:val="24"/>
          <w:szCs w:val="24"/>
          <w14:textFill>
            <w14:solidFill>
              <w14:schemeClr w14:val="tx1"/>
            </w14:solidFill>
          </w14:textFill>
        </w:rPr>
      </w:pPr>
      <w:r>
        <w:rPr>
          <w:rFonts w:hint="eastAsia" w:ascii="宋体" w:hAnsi="宋体" w:eastAsia="宋体"/>
          <w:bCs/>
          <w:color w:val="000000" w:themeColor="text1"/>
          <w:sz w:val="36"/>
          <w:szCs w:val="36"/>
          <w14:textFill>
            <w14:solidFill>
              <w14:schemeClr w14:val="tx1"/>
            </w14:solidFill>
          </w14:textFill>
        </w:rPr>
        <w:t>第六章投标</w:t>
      </w:r>
      <w:bookmarkEnd w:id="137"/>
      <w:bookmarkEnd w:id="138"/>
      <w:bookmarkEnd w:id="139"/>
      <w:r>
        <w:rPr>
          <w:rFonts w:hint="eastAsia" w:ascii="宋体" w:hAnsi="宋体" w:eastAsia="宋体"/>
          <w:bCs/>
          <w:color w:val="000000" w:themeColor="text1"/>
          <w:sz w:val="36"/>
          <w:szCs w:val="36"/>
          <w14:textFill>
            <w14:solidFill>
              <w14:schemeClr w14:val="tx1"/>
            </w14:solidFill>
          </w14:textFill>
        </w:rPr>
        <w:t>文件格式</w:t>
      </w:r>
    </w:p>
    <w:p>
      <w:pPr>
        <w:spacing w:line="500" w:lineRule="exact"/>
        <w:jc w:val="center"/>
        <w:rPr>
          <w:rFonts w:ascii="宋体"/>
          <w:b/>
          <w:color w:val="000000" w:themeColor="text1"/>
          <w:sz w:val="24"/>
          <w:szCs w:val="24"/>
          <w14:textFill>
            <w14:solidFill>
              <w14:schemeClr w14:val="tx1"/>
            </w14:solidFill>
          </w14:textFill>
        </w:rPr>
      </w:pPr>
      <w:bookmarkStart w:id="142" w:name="_Toc49090576"/>
      <w:bookmarkStart w:id="143" w:name="_Toc120614282"/>
      <w:bookmarkStart w:id="144" w:name="_Toc26554094"/>
    </w:p>
    <w:p>
      <w:pPr>
        <w:spacing w:line="720" w:lineRule="auto"/>
        <w:jc w:val="center"/>
        <w:rPr>
          <w:rFonts w:asci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投标文件</w:t>
      </w:r>
    </w:p>
    <w:p>
      <w:pPr>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（正或副本）</w:t>
      </w: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jc w:val="center"/>
        <w:rPr>
          <w:rFonts w:ascii="宋体"/>
          <w:b/>
          <w:color w:val="000000" w:themeColor="text1"/>
          <w:sz w:val="24"/>
          <w:szCs w:val="24"/>
          <w14:textFill>
            <w14:solidFill>
              <w14:schemeClr w14:val="tx1"/>
            </w14:solidFill>
          </w14:textFill>
        </w:rPr>
      </w:pPr>
    </w:p>
    <w:p>
      <w:pPr>
        <w:spacing w:line="500" w:lineRule="exact"/>
        <w:ind w:firstLine="1084" w:firstLineChars="300"/>
        <w:rPr>
          <w:rFonts w:ascii="宋体"/>
          <w:b/>
          <w:color w:val="000000" w:themeColor="text1"/>
          <w:sz w:val="36"/>
          <w:szCs w:val="36"/>
          <w:u w:val="single"/>
          <w14:textFill>
            <w14:solidFill>
              <w14:schemeClr w14:val="tx1"/>
            </w14:solidFill>
          </w14:textFill>
        </w:rPr>
      </w:pPr>
    </w:p>
    <w:p>
      <w:pPr>
        <w:spacing w:line="500" w:lineRule="exact"/>
        <w:ind w:firstLine="1084" w:firstLineChars="300"/>
        <w:rPr>
          <w:rFonts w:ascii="宋体"/>
          <w:b/>
          <w:color w:val="000000" w:themeColor="text1"/>
          <w:sz w:val="36"/>
          <w:szCs w:val="36"/>
          <w:u w:val="single"/>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项目名称：</w:t>
      </w:r>
    </w:p>
    <w:p>
      <w:pPr>
        <w:spacing w:line="500" w:lineRule="exact"/>
        <w:ind w:firstLine="1084" w:firstLineChars="300"/>
        <w:rPr>
          <w:rFonts w:ascii="宋体"/>
          <w:b/>
          <w:color w:val="000000" w:themeColor="text1"/>
          <w:sz w:val="36"/>
          <w:szCs w:val="36"/>
          <w:u w:val="single"/>
          <w14:textFill>
            <w14:solidFill>
              <w14:schemeClr w14:val="tx1"/>
            </w14:solidFill>
          </w14:textFill>
        </w:rPr>
      </w:pPr>
    </w:p>
    <w:p>
      <w:pPr>
        <w:spacing w:line="500" w:lineRule="exact"/>
        <w:rPr>
          <w:rFonts w:ascii="宋体"/>
          <w:b/>
          <w:color w:val="000000" w:themeColor="text1"/>
          <w:sz w:val="36"/>
          <w:szCs w:val="36"/>
          <w:u w:val="single"/>
          <w14:textFill>
            <w14:solidFill>
              <w14:schemeClr w14:val="tx1"/>
            </w14:solidFill>
          </w14:textFill>
        </w:rPr>
      </w:pP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投标人名称</w:t>
      </w: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w:t>
      </w:r>
    </w:p>
    <w:p>
      <w:pPr>
        <w:spacing w:line="500" w:lineRule="exact"/>
        <w:rPr>
          <w:rFonts w:ascii="宋体"/>
          <w:b/>
          <w:color w:val="000000" w:themeColor="text1"/>
          <w:sz w:val="36"/>
          <w:szCs w:val="36"/>
          <w:u w:val="single"/>
          <w14:textFill>
            <w14:solidFill>
              <w14:schemeClr w14:val="tx1"/>
            </w14:solidFill>
          </w14:textFill>
        </w:rPr>
      </w:pPr>
    </w:p>
    <w:p>
      <w:pPr>
        <w:spacing w:line="500" w:lineRule="exact"/>
        <w:rPr>
          <w:rFonts w:asci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日  期</w:t>
      </w:r>
      <w:r>
        <w:rPr>
          <w:rFonts w:ascii="宋体" w:hAnsi="宋体"/>
          <w:b/>
          <w:color w:val="000000" w:themeColor="text1"/>
          <w:sz w:val="36"/>
          <w:szCs w:val="36"/>
          <w14:textFill>
            <w14:solidFill>
              <w14:schemeClr w14:val="tx1"/>
            </w14:solidFill>
          </w14:textFill>
        </w:rPr>
        <w:t xml:space="preserve"> </w:t>
      </w:r>
      <w:r>
        <w:rPr>
          <w:rFonts w:hint="eastAsia" w:ascii="宋体" w:hAnsi="宋体"/>
          <w:b/>
          <w:color w:val="000000" w:themeColor="text1"/>
          <w:sz w:val="36"/>
          <w:szCs w:val="36"/>
          <w14:textFill>
            <w14:solidFill>
              <w14:schemeClr w14:val="tx1"/>
            </w14:solidFill>
          </w14:textFill>
        </w:rPr>
        <w:t>：</w:t>
      </w:r>
    </w:p>
    <w:p>
      <w:pPr>
        <w:spacing w:line="500" w:lineRule="exact"/>
        <w:jc w:val="center"/>
        <w:rPr>
          <w:rFonts w:ascii="宋体"/>
          <w:b/>
          <w:bCs/>
          <w:color w:val="000000" w:themeColor="text1"/>
          <w:sz w:val="36"/>
          <w:szCs w:val="36"/>
          <w14:textFill>
            <w14:solidFill>
              <w14:schemeClr w14:val="tx1"/>
            </w14:solidFill>
          </w14:textFill>
        </w:rPr>
      </w:pPr>
    </w:p>
    <w:p>
      <w:pPr>
        <w:spacing w:line="500" w:lineRule="exact"/>
        <w:ind w:firstLine="480" w:firstLineChars="200"/>
        <w:rPr>
          <w:rFonts w:ascii="宋体"/>
          <w:color w:val="000000" w:themeColor="text1"/>
          <w:sz w:val="24"/>
          <w:szCs w:val="24"/>
          <w14:textFill>
            <w14:solidFill>
              <w14:schemeClr w14:val="tx1"/>
            </w14:solidFill>
          </w14:textFill>
        </w:rPr>
      </w:pPr>
    </w:p>
    <w:p>
      <w:pPr>
        <w:spacing w:line="500" w:lineRule="exact"/>
        <w:ind w:firstLine="480" w:firstLineChars="200"/>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r>
        <w:rPr>
          <w:rFonts w:ascii="宋体"/>
          <w:color w:val="000000" w:themeColor="text1"/>
          <w:sz w:val="24"/>
          <w:szCs w:val="24"/>
          <w14:textFill>
            <w14:solidFill>
              <w14:schemeClr w14:val="tx1"/>
            </w14:solidFill>
          </w14:textFill>
        </w:rPr>
        <w:br w:type="page"/>
      </w:r>
    </w:p>
    <w:p>
      <w:pPr>
        <w:spacing w:line="500" w:lineRule="exact"/>
        <w:jc w:val="center"/>
        <w:rPr>
          <w:rFonts w:ascii="宋体"/>
          <w:b/>
          <w:bCs/>
          <w:color w:val="000000" w:themeColor="text1"/>
          <w:sz w:val="40"/>
          <w:szCs w:val="40"/>
          <w14:textFill>
            <w14:solidFill>
              <w14:schemeClr w14:val="tx1"/>
            </w14:solidFill>
          </w14:textFill>
        </w:rPr>
      </w:pPr>
      <w:r>
        <w:rPr>
          <w:rFonts w:hint="eastAsia" w:ascii="宋体" w:hAnsi="宋体"/>
          <w:b/>
          <w:bCs/>
          <w:color w:val="000000" w:themeColor="text1"/>
          <w:sz w:val="40"/>
          <w:szCs w:val="40"/>
          <w14:textFill>
            <w14:solidFill>
              <w14:schemeClr w14:val="tx1"/>
            </w14:solidFill>
          </w14:textFill>
        </w:rPr>
        <w:t>投标主要文件目录</w:t>
      </w:r>
    </w:p>
    <w:p>
      <w:pPr>
        <w:spacing w:line="500" w:lineRule="exact"/>
        <w:jc w:val="center"/>
        <w:rPr>
          <w:rFonts w:ascii="宋体"/>
          <w:b/>
          <w:bCs/>
          <w:color w:val="000000" w:themeColor="text1"/>
          <w:sz w:val="24"/>
          <w:szCs w:val="24"/>
          <w14:textFill>
            <w14:solidFill>
              <w14:schemeClr w14:val="tx1"/>
            </w14:solidFill>
          </w14:textFill>
        </w:rPr>
      </w:pPr>
    </w:p>
    <w:p>
      <w:pPr>
        <w:spacing w:line="66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一、资格性和符合性检查响应对照表</w:t>
      </w:r>
    </w:p>
    <w:p>
      <w:pPr>
        <w:spacing w:line="660" w:lineRule="exact"/>
        <w:ind w:firstLine="562" w:firstLineChars="200"/>
        <w:rPr>
          <w:rFonts w:ascii="宋体"/>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二</w:t>
      </w:r>
      <w:r>
        <w:rPr>
          <w:rFonts w:hint="eastAsia" w:ascii="宋体" w:hAnsi="宋体"/>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资格信誉等证明文件</w:t>
      </w:r>
    </w:p>
    <w:p>
      <w:pPr>
        <w:spacing w:line="66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三、投标函</w:t>
      </w:r>
    </w:p>
    <w:p>
      <w:pPr>
        <w:spacing w:line="66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w:t>
      </w: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开标一览表</w:t>
      </w:r>
    </w:p>
    <w:p>
      <w:pPr>
        <w:spacing w:line="66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五、报价清单</w:t>
      </w: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widowControl/>
        <w:jc w:val="left"/>
        <w:rPr>
          <w:rFonts w:ascii="宋体"/>
          <w:b/>
          <w:color w:val="000000" w:themeColor="text1"/>
          <w:sz w:val="36"/>
          <w:szCs w:val="36"/>
          <w14:textFill>
            <w14:solidFill>
              <w14:schemeClr w14:val="tx1"/>
            </w14:solidFill>
          </w14:textFill>
        </w:rPr>
      </w:pPr>
    </w:p>
    <w:p>
      <w:pPr>
        <w:pStyle w:val="2"/>
        <w:rPr>
          <w:rFonts w:ascii="宋体"/>
          <w:b/>
          <w:color w:val="000000" w:themeColor="text1"/>
          <w:sz w:val="36"/>
          <w:szCs w:val="36"/>
          <w14:textFill>
            <w14:solidFill>
              <w14:schemeClr w14:val="tx1"/>
            </w14:solidFill>
          </w14:textFill>
        </w:rPr>
      </w:pPr>
    </w:p>
    <w:p/>
    <w:p>
      <w:pPr>
        <w:pStyle w:val="16"/>
      </w:pPr>
    </w:p>
    <w:p/>
    <w:p>
      <w:pPr>
        <w:pStyle w:val="16"/>
      </w:pPr>
    </w:p>
    <w:p>
      <w:pPr>
        <w:widowControl/>
        <w:jc w:val="left"/>
        <w:rPr>
          <w:rFonts w:ascii="宋体"/>
          <w:b/>
          <w:color w:val="000000" w:themeColor="text1"/>
          <w:sz w:val="36"/>
          <w:szCs w:val="36"/>
          <w14:textFill>
            <w14:solidFill>
              <w14:schemeClr w14:val="tx1"/>
            </w14:solidFill>
          </w14:textFill>
        </w:rPr>
      </w:pPr>
    </w:p>
    <w:p>
      <w:pPr>
        <w:spacing w:line="900" w:lineRule="exact"/>
        <w:jc w:val="center"/>
        <w:rPr>
          <w:rFonts w:asci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一、资格性和符合性检查响应对照表</w:t>
      </w:r>
    </w:p>
    <w:p>
      <w:pPr>
        <w:spacing w:line="500" w:lineRule="exact"/>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投标人全称：</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（加盖公章）</w:t>
      </w:r>
    </w:p>
    <w:tbl>
      <w:tblPr>
        <w:tblStyle w:val="3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274"/>
        <w:gridCol w:w="1853"/>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序号</w:t>
            </w:r>
          </w:p>
        </w:tc>
        <w:tc>
          <w:tcPr>
            <w:tcW w:w="5274" w:type="dxa"/>
            <w:vAlign w:val="center"/>
          </w:tcPr>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资格性和符合性检查响应内容</w:t>
            </w:r>
          </w:p>
        </w:tc>
        <w:tc>
          <w:tcPr>
            <w:tcW w:w="1853" w:type="dxa"/>
            <w:vAlign w:val="center"/>
          </w:tcPr>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是否响应</w:t>
            </w:r>
          </w:p>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（填是或者否）</w:t>
            </w:r>
          </w:p>
        </w:tc>
        <w:tc>
          <w:tcPr>
            <w:tcW w:w="1785" w:type="dxa"/>
            <w:vAlign w:val="center"/>
          </w:tcPr>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投标文件中的</w:t>
            </w:r>
          </w:p>
          <w:p>
            <w:pPr>
              <w:snapToGrid w:val="0"/>
              <w:spacing w:line="500" w:lineRule="exact"/>
              <w:jc w:val="center"/>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1</w:t>
            </w:r>
          </w:p>
        </w:tc>
        <w:tc>
          <w:tcPr>
            <w:tcW w:w="5274" w:type="dxa"/>
            <w:vAlign w:val="center"/>
          </w:tcPr>
          <w:p>
            <w:pPr>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b/>
                <w:color w:val="000000" w:themeColor="text1"/>
                <w:sz w:val="24"/>
                <w:szCs w:val="24"/>
                <w14:textFill>
                  <w14:solidFill>
                    <w14:schemeClr w14:val="tx1"/>
                  </w14:solidFill>
                </w14:textFill>
              </w:rPr>
            </w:pPr>
          </w:p>
        </w:tc>
        <w:tc>
          <w:tcPr>
            <w:tcW w:w="1785" w:type="dxa"/>
            <w:vAlign w:val="center"/>
          </w:tcPr>
          <w:p>
            <w:pPr>
              <w:spacing w:line="500" w:lineRule="exact"/>
              <w:rPr>
                <w:rFonts w:asci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2</w:t>
            </w:r>
          </w:p>
        </w:tc>
        <w:tc>
          <w:tcPr>
            <w:tcW w:w="5274" w:type="dxa"/>
            <w:vAlign w:val="center"/>
          </w:tcPr>
          <w:p>
            <w:pPr>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3</w:t>
            </w:r>
          </w:p>
        </w:tc>
        <w:tc>
          <w:tcPr>
            <w:tcW w:w="5274" w:type="dxa"/>
            <w:vAlign w:val="center"/>
          </w:tcPr>
          <w:p>
            <w:pPr>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4</w:t>
            </w:r>
          </w:p>
        </w:tc>
        <w:tc>
          <w:tcPr>
            <w:tcW w:w="5274" w:type="dxa"/>
            <w:vAlign w:val="center"/>
          </w:tcPr>
          <w:p>
            <w:pPr>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5</w:t>
            </w:r>
          </w:p>
        </w:tc>
        <w:tc>
          <w:tcPr>
            <w:tcW w:w="5274" w:type="dxa"/>
            <w:vAlign w:val="center"/>
          </w:tcPr>
          <w:p>
            <w:pPr>
              <w:snapToGrid w:val="0"/>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6</w:t>
            </w:r>
          </w:p>
        </w:tc>
        <w:tc>
          <w:tcPr>
            <w:tcW w:w="5274" w:type="dxa"/>
            <w:vAlign w:val="center"/>
          </w:tcPr>
          <w:p>
            <w:pPr>
              <w:snapToGrid w:val="0"/>
              <w:spacing w:line="500" w:lineRule="exact"/>
              <w:rPr>
                <w:rFonts w:ascii="宋体"/>
                <w:i/>
                <w:iCs/>
                <w:color w:val="000000" w:themeColor="text1"/>
                <w:sz w:val="24"/>
                <w:szCs w:val="24"/>
                <w:u w:val="single"/>
                <w14:textFill>
                  <w14:solidFill>
                    <w14:schemeClr w14:val="tx1"/>
                  </w14:solidFill>
                </w14:textFill>
              </w:rPr>
            </w:pP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646" w:type="dxa"/>
            <w:vAlign w:val="center"/>
          </w:tcPr>
          <w:p>
            <w:pPr>
              <w:spacing w:line="500" w:lineRule="exact"/>
              <w:jc w:val="center"/>
              <w:rPr>
                <w:rFonts w:ascii="宋体" w:hAnsi="宋体"/>
                <w:b/>
                <w:color w:val="000000" w:themeColor="text1"/>
                <w:sz w:val="24"/>
                <w:szCs w:val="24"/>
                <w:u w:val="single"/>
                <w14:textFill>
                  <w14:solidFill>
                    <w14:schemeClr w14:val="tx1"/>
                  </w14:solidFill>
                </w14:textFill>
              </w:rPr>
            </w:pPr>
            <w:r>
              <w:rPr>
                <w:rFonts w:ascii="宋体" w:hAnsi="宋体"/>
                <w:b/>
                <w:color w:val="000000" w:themeColor="text1"/>
                <w:sz w:val="24"/>
                <w:szCs w:val="24"/>
                <w:u w:val="single"/>
                <w14:textFill>
                  <w14:solidFill>
                    <w14:schemeClr w14:val="tx1"/>
                  </w14:solidFill>
                </w14:textFill>
              </w:rPr>
              <w:t>7</w:t>
            </w:r>
          </w:p>
        </w:tc>
        <w:tc>
          <w:tcPr>
            <w:tcW w:w="5274" w:type="dxa"/>
            <w:vAlign w:val="center"/>
          </w:tcPr>
          <w:p>
            <w:pPr>
              <w:snapToGrid w:val="0"/>
              <w:spacing w:line="500" w:lineRule="exact"/>
              <w:rPr>
                <w:rFonts w:ascii="宋体"/>
                <w:b/>
                <w:iCs/>
                <w:color w:val="000000" w:themeColor="text1"/>
                <w:sz w:val="24"/>
                <w:szCs w:val="24"/>
                <w:u w:val="single"/>
                <w14:textFill>
                  <w14:solidFill>
                    <w14:schemeClr w14:val="tx1"/>
                  </w14:solidFill>
                </w14:textFill>
              </w:rPr>
            </w:pPr>
            <w:r>
              <w:rPr>
                <w:rFonts w:hint="eastAsia" w:ascii="宋体" w:hAnsi="宋体"/>
                <w:b/>
                <w:iCs/>
                <w:color w:val="000000" w:themeColor="text1"/>
                <w:sz w:val="24"/>
                <w:szCs w:val="24"/>
                <w:u w:val="single"/>
                <w14:textFill>
                  <w14:solidFill>
                    <w14:schemeClr w14:val="tx1"/>
                  </w14:solidFill>
                </w14:textFill>
              </w:rPr>
              <w:t>招标文件中的其他实质性要求</w:t>
            </w:r>
          </w:p>
        </w:tc>
        <w:tc>
          <w:tcPr>
            <w:tcW w:w="1853" w:type="dxa"/>
            <w:vAlign w:val="center"/>
          </w:tcPr>
          <w:p>
            <w:pPr>
              <w:spacing w:line="500" w:lineRule="exact"/>
              <w:rPr>
                <w:rFonts w:ascii="宋体"/>
                <w:color w:val="000000" w:themeColor="text1"/>
                <w:sz w:val="24"/>
                <w:szCs w:val="24"/>
                <w14:textFill>
                  <w14:solidFill>
                    <w14:schemeClr w14:val="tx1"/>
                  </w14:solidFill>
                </w14:textFill>
              </w:rPr>
            </w:pPr>
          </w:p>
        </w:tc>
        <w:tc>
          <w:tcPr>
            <w:tcW w:w="1785" w:type="dxa"/>
            <w:vAlign w:val="center"/>
          </w:tcPr>
          <w:p>
            <w:pPr>
              <w:spacing w:line="500" w:lineRule="exact"/>
              <w:rPr>
                <w:rFonts w:ascii="宋体"/>
                <w:color w:val="000000" w:themeColor="text1"/>
                <w:sz w:val="24"/>
                <w:szCs w:val="24"/>
                <w14:textFill>
                  <w14:solidFill>
                    <w14:schemeClr w14:val="tx1"/>
                  </w14:solidFill>
                </w14:textFill>
              </w:rPr>
            </w:pPr>
          </w:p>
        </w:tc>
      </w:tr>
    </w:tbl>
    <w:p>
      <w:pPr>
        <w:spacing w:line="500" w:lineRule="exact"/>
        <w:ind w:firstLine="480" w:firstLineChars="200"/>
        <w:rPr>
          <w:rFonts w:ascii="宋体"/>
          <w:color w:val="000000" w:themeColor="text1"/>
          <w:sz w:val="24"/>
          <w:szCs w:val="24"/>
          <w14:textFill>
            <w14:solidFill>
              <w14:schemeClr w14:val="tx1"/>
            </w14:solidFill>
          </w14:textFill>
        </w:rPr>
      </w:pPr>
    </w:p>
    <w:bookmarkEnd w:id="142"/>
    <w:bookmarkEnd w:id="143"/>
    <w:bookmarkEnd w:id="144"/>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widowControl/>
        <w:jc w:val="left"/>
        <w:rPr>
          <w:rFonts w:ascii="宋体"/>
          <w:color w:val="000000" w:themeColor="text1"/>
          <w:sz w:val="24"/>
          <w:szCs w:val="24"/>
          <w14:textFill>
            <w14:solidFill>
              <w14:schemeClr w14:val="tx1"/>
            </w14:solidFill>
          </w14:textFill>
        </w:rPr>
      </w:pPr>
    </w:p>
    <w:p>
      <w:pPr>
        <w:snapToGrid w:val="0"/>
        <w:spacing w:before="50" w:after="50" w:line="500" w:lineRule="exact"/>
        <w:jc w:val="center"/>
        <w:rPr>
          <w:rFonts w:ascii="宋体"/>
          <w:b/>
          <w:bCs/>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二、</w:t>
      </w:r>
      <w:r>
        <w:rPr>
          <w:rFonts w:hint="eastAsia" w:ascii="宋体" w:hAnsi="宋体"/>
          <w:b/>
          <w:bCs/>
          <w:color w:val="000000" w:themeColor="text1"/>
          <w:sz w:val="36"/>
          <w:szCs w:val="36"/>
          <w14:textFill>
            <w14:solidFill>
              <w14:schemeClr w14:val="tx1"/>
            </w14:solidFill>
          </w14:textFill>
        </w:rPr>
        <w:t>资格信誉等证明文件要求</w:t>
      </w:r>
    </w:p>
    <w:p>
      <w:pPr>
        <w:snapToGrid w:val="0"/>
        <w:spacing w:before="50" w:after="50" w:line="500" w:lineRule="exact"/>
        <w:rPr>
          <w:rFonts w:ascii="宋体"/>
          <w:i/>
          <w:color w:val="000000" w:themeColor="text1"/>
          <w:sz w:val="24"/>
          <w:szCs w:val="24"/>
          <w:u w:val="single"/>
          <w14:textFill>
            <w14:solidFill>
              <w14:schemeClr w14:val="tx1"/>
            </w14:solidFill>
          </w14:textFill>
        </w:rPr>
      </w:pPr>
    </w:p>
    <w:p>
      <w:pPr>
        <w:snapToGrid w:val="0"/>
        <w:spacing w:before="50" w:after="50" w:line="500" w:lineRule="exact"/>
        <w:ind w:firstLine="482" w:firstLineChars="200"/>
        <w:rPr>
          <w:rFonts w:ascii="宋体"/>
          <w:color w:val="000000" w:themeColor="text1"/>
          <w:sz w:val="24"/>
          <w:szCs w:val="24"/>
          <w14:textFill>
            <w14:solidFill>
              <w14:schemeClr w14:val="tx1"/>
            </w14:solidFill>
          </w14:textFill>
        </w:rPr>
      </w:pPr>
      <w:r>
        <w:rPr>
          <w:rFonts w:ascii="宋体" w:hAnsi="宋体"/>
          <w:b/>
          <w:bCs/>
          <w:color w:val="000000" w:themeColor="text1"/>
          <w:sz w:val="24"/>
          <w:szCs w:val="24"/>
          <w14:textFill>
            <w14:solidFill>
              <w14:schemeClr w14:val="tx1"/>
            </w14:solidFill>
          </w14:textFill>
        </w:rPr>
        <w:t>1</w:t>
      </w:r>
      <w:r>
        <w:rPr>
          <w:rFonts w:hint="eastAsia" w:ascii="宋体" w:hAnsi="宋体"/>
          <w:b/>
          <w:bCs/>
          <w:color w:val="000000" w:themeColor="text1"/>
          <w:sz w:val="24"/>
          <w:szCs w:val="24"/>
          <w14:textFill>
            <w14:solidFill>
              <w14:schemeClr w14:val="tx1"/>
            </w14:solidFill>
          </w14:textFill>
        </w:rPr>
        <w:t>、实质性资格证明文件目录</w:t>
      </w:r>
    </w:p>
    <w:p>
      <w:pPr>
        <w:snapToGrid w:val="0"/>
        <w:spacing w:line="500" w:lineRule="exact"/>
        <w:ind w:firstLine="482" w:firstLineChars="200"/>
        <w:rPr>
          <w:rFonts w:ascii="宋体" w:cs="Arial"/>
          <w:b/>
          <w:color w:val="000000" w:themeColor="text1"/>
          <w:sz w:val="24"/>
          <w:szCs w:val="24"/>
          <w:u w:val="single"/>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文件</w:t>
      </w:r>
      <w:r>
        <w:rPr>
          <w:rFonts w:ascii="宋体" w:hAnsi="宋体"/>
          <w:b/>
          <w:color w:val="000000" w:themeColor="text1"/>
          <w:sz w:val="24"/>
          <w:szCs w:val="24"/>
          <w:u w:val="single"/>
          <w14:textFill>
            <w14:solidFill>
              <w14:schemeClr w14:val="tx1"/>
            </w14:solidFill>
          </w14:textFill>
        </w:rPr>
        <w:t>1</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cs="Arial"/>
          <w:b/>
          <w:color w:val="000000" w:themeColor="text1"/>
          <w:sz w:val="24"/>
          <w:szCs w:val="24"/>
          <w:u w:val="single"/>
          <w14:textFill>
            <w14:solidFill>
              <w14:schemeClr w14:val="tx1"/>
            </w14:solidFill>
          </w14:textFill>
        </w:rPr>
        <w:t>法人或者其他组织的营业执照等证明文件，自然人的身份证明。（清晰可辨的复印件加盖企业公章）</w:t>
      </w:r>
    </w:p>
    <w:p>
      <w:pPr>
        <w:snapToGrid w:val="0"/>
        <w:spacing w:before="50" w:afterLines="50" w:line="500" w:lineRule="exact"/>
        <w:ind w:firstLine="482" w:firstLineChars="200"/>
        <w:jc w:val="left"/>
        <w:rPr>
          <w:rFonts w:ascii="宋体"/>
          <w:b/>
          <w:color w:val="000000" w:themeColor="text1"/>
          <w:sz w:val="24"/>
          <w:szCs w:val="24"/>
          <w:u w:val="single"/>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文件</w:t>
      </w:r>
      <w:r>
        <w:rPr>
          <w:rFonts w:ascii="宋体" w:hAnsi="宋体"/>
          <w:b/>
          <w:color w:val="000000" w:themeColor="text1"/>
          <w:sz w:val="24"/>
          <w:szCs w:val="24"/>
          <w:u w:val="single"/>
          <w14:textFill>
            <w14:solidFill>
              <w14:schemeClr w14:val="tx1"/>
            </w14:solidFill>
          </w14:textFill>
        </w:rPr>
        <w:t>2</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cs="Arial"/>
          <w:b/>
          <w:color w:val="000000" w:themeColor="text1"/>
          <w:sz w:val="24"/>
          <w:szCs w:val="24"/>
          <w:u w:val="single"/>
          <w14:textFill>
            <w14:solidFill>
              <w14:schemeClr w14:val="tx1"/>
            </w14:solidFill>
          </w14:textFill>
        </w:rPr>
        <w:t>具备履行合同所必需的设备和专业技术能力</w:t>
      </w:r>
      <w:r>
        <w:rPr>
          <w:rFonts w:hint="eastAsia" w:ascii="宋体" w:hAnsi="宋体"/>
          <w:b/>
          <w:color w:val="000000" w:themeColor="text1"/>
          <w:sz w:val="24"/>
          <w:szCs w:val="24"/>
          <w:u w:val="single"/>
          <w14:textFill>
            <w14:solidFill>
              <w14:schemeClr w14:val="tx1"/>
            </w14:solidFill>
          </w14:textFill>
        </w:rPr>
        <w:t>证明材料</w:t>
      </w:r>
      <w:r>
        <w:rPr>
          <w:rFonts w:hint="eastAsia" w:ascii="宋体" w:hAnsi="宋体" w:cs="Arial"/>
          <w:b/>
          <w:color w:val="000000" w:themeColor="text1"/>
          <w:sz w:val="24"/>
          <w:szCs w:val="24"/>
          <w:u w:val="single"/>
          <w14:textFill>
            <w14:solidFill>
              <w14:schemeClr w14:val="tx1"/>
            </w14:solidFill>
          </w14:textFill>
        </w:rPr>
        <w:t>（原件</w:t>
      </w:r>
      <w:r>
        <w:rPr>
          <w:rFonts w:ascii="宋体" w:hAnsi="宋体"/>
          <w:b/>
          <w:color w:val="000000" w:themeColor="text1"/>
          <w:sz w:val="24"/>
          <w:szCs w:val="24"/>
          <w:u w:val="single"/>
          <w14:textFill>
            <w14:solidFill>
              <w14:schemeClr w14:val="tx1"/>
            </w14:solidFill>
          </w14:textFill>
        </w:rPr>
        <w:t>,</w:t>
      </w:r>
      <w:r>
        <w:rPr>
          <w:rFonts w:hint="eastAsia" w:ascii="宋体" w:hAnsi="宋体" w:cs="Arial"/>
          <w:b/>
          <w:color w:val="000000" w:themeColor="text1"/>
          <w:sz w:val="24"/>
          <w:szCs w:val="24"/>
          <w:u w:val="single"/>
          <w14:textFill>
            <w14:solidFill>
              <w14:schemeClr w14:val="tx1"/>
            </w14:solidFill>
          </w14:textFill>
        </w:rPr>
        <w:t>格式见附表）</w:t>
      </w:r>
    </w:p>
    <w:p>
      <w:pPr>
        <w:snapToGrid w:val="0"/>
        <w:spacing w:line="500" w:lineRule="exact"/>
        <w:ind w:firstLine="482" w:firstLineChars="200"/>
        <w:rPr>
          <w:rFonts w:ascii="宋体" w:cs="Arial"/>
          <w:b/>
          <w:color w:val="000000" w:themeColor="text1"/>
          <w:sz w:val="24"/>
          <w:szCs w:val="24"/>
          <w:u w:val="single"/>
          <w14:textFill>
            <w14:solidFill>
              <w14:schemeClr w14:val="tx1"/>
            </w14:solidFill>
          </w14:textFill>
        </w:rPr>
      </w:pPr>
      <w:r>
        <w:rPr>
          <w:rFonts w:hint="eastAsia" w:ascii="宋体" w:hAnsi="宋体"/>
          <w:b/>
          <w:color w:val="000000" w:themeColor="text1"/>
          <w:sz w:val="24"/>
          <w:szCs w:val="24"/>
          <w:u w:val="single"/>
          <w14:textFill>
            <w14:solidFill>
              <w14:schemeClr w14:val="tx1"/>
            </w14:solidFill>
          </w14:textFill>
        </w:rPr>
        <w:t>文件</w:t>
      </w:r>
      <w:r>
        <w:rPr>
          <w:rFonts w:hint="eastAsia" w:ascii="宋体" w:hAnsi="宋体"/>
          <w:b/>
          <w:color w:val="000000" w:themeColor="text1"/>
          <w:sz w:val="24"/>
          <w:szCs w:val="24"/>
          <w:u w:val="single"/>
          <w:lang w:val="en-US" w:eastAsia="zh-CN"/>
          <w14:textFill>
            <w14:solidFill>
              <w14:schemeClr w14:val="tx1"/>
            </w14:solidFill>
          </w14:textFill>
        </w:rPr>
        <w:t>3</w:t>
      </w:r>
      <w:r>
        <w:rPr>
          <w:rFonts w:hint="eastAsia" w:ascii="宋体" w:hAnsi="宋体" w:cs="Arial"/>
          <w:b/>
          <w:color w:val="000000" w:themeColor="text1"/>
          <w:sz w:val="24"/>
          <w:szCs w:val="24"/>
          <w:u w:val="single"/>
          <w14:textFill>
            <w14:solidFill>
              <w14:schemeClr w14:val="tx1"/>
            </w14:solidFill>
          </w14:textFill>
        </w:rPr>
        <w:t>参加政府采购活动前</w:t>
      </w:r>
      <w:r>
        <w:rPr>
          <w:rFonts w:ascii="宋体" w:hAnsi="宋体" w:cs="Arial"/>
          <w:b/>
          <w:color w:val="000000" w:themeColor="text1"/>
          <w:sz w:val="24"/>
          <w:szCs w:val="24"/>
          <w:u w:val="single"/>
          <w14:textFill>
            <w14:solidFill>
              <w14:schemeClr w14:val="tx1"/>
            </w14:solidFill>
          </w14:textFill>
        </w:rPr>
        <w:t xml:space="preserve"> 3 </w:t>
      </w:r>
      <w:r>
        <w:rPr>
          <w:rFonts w:hint="eastAsia" w:ascii="宋体" w:hAnsi="宋体" w:cs="Arial"/>
          <w:b/>
          <w:color w:val="000000" w:themeColor="text1"/>
          <w:sz w:val="24"/>
          <w:szCs w:val="24"/>
          <w:u w:val="single"/>
          <w14:textFill>
            <w14:solidFill>
              <w14:schemeClr w14:val="tx1"/>
            </w14:solidFill>
          </w14:textFill>
        </w:rPr>
        <w:t>年内在经营活动中没有重大违法记录的书面声明（</w:t>
      </w:r>
      <w:r>
        <w:rPr>
          <w:rFonts w:hint="eastAsia" w:ascii="宋体" w:hAnsi="宋体"/>
          <w:b/>
          <w:color w:val="000000" w:themeColor="text1"/>
          <w:sz w:val="24"/>
          <w:szCs w:val="24"/>
          <w:u w:val="single"/>
          <w14:textFill>
            <w14:solidFill>
              <w14:schemeClr w14:val="tx1"/>
            </w14:solidFill>
          </w14:textFill>
        </w:rPr>
        <w:t>原件</w:t>
      </w:r>
      <w:r>
        <w:rPr>
          <w:rFonts w:ascii="宋体" w:hAnsi="宋体"/>
          <w:b/>
          <w:color w:val="000000" w:themeColor="text1"/>
          <w:sz w:val="24"/>
          <w:szCs w:val="24"/>
          <w:u w:val="single"/>
          <w14:textFill>
            <w14:solidFill>
              <w14:schemeClr w14:val="tx1"/>
            </w14:solidFill>
          </w14:textFill>
        </w:rPr>
        <w:t>,</w:t>
      </w:r>
      <w:r>
        <w:rPr>
          <w:rFonts w:hint="eastAsia" w:ascii="宋体" w:hAnsi="宋体" w:cs="Arial"/>
          <w:b/>
          <w:color w:val="000000" w:themeColor="text1"/>
          <w:sz w:val="24"/>
          <w:szCs w:val="24"/>
          <w:u w:val="single"/>
          <w14:textFill>
            <w14:solidFill>
              <w14:schemeClr w14:val="tx1"/>
            </w14:solidFill>
          </w14:textFill>
        </w:rPr>
        <w:t>格式见附表）</w:t>
      </w:r>
    </w:p>
    <w:p>
      <w:pPr>
        <w:snapToGrid w:val="0"/>
        <w:spacing w:before="50" w:afterLines="50" w:line="500" w:lineRule="exact"/>
        <w:ind w:firstLine="482" w:firstLineChars="200"/>
        <w:jc w:val="left"/>
        <w:rPr>
          <w:rFonts w:hint="eastAsia" w:ascii="宋体" w:hAnsi="宋体" w:cs="Arial"/>
          <w:b/>
          <w:color w:val="000000" w:themeColor="text1"/>
          <w:sz w:val="24"/>
          <w:szCs w:val="24"/>
          <w:u w:val="single"/>
          <w14:textFill>
            <w14:solidFill>
              <w14:schemeClr w14:val="tx1"/>
            </w14:solidFill>
          </w14:textFill>
        </w:rPr>
      </w:pPr>
      <w:r>
        <w:rPr>
          <w:rFonts w:hint="eastAsia" w:ascii="宋体" w:hAnsi="宋体" w:cs="Arial"/>
          <w:b/>
          <w:color w:val="000000" w:themeColor="text1"/>
          <w:sz w:val="24"/>
          <w:szCs w:val="24"/>
          <w:u w:val="single"/>
          <w14:textFill>
            <w14:solidFill>
              <w14:schemeClr w14:val="tx1"/>
            </w14:solidFill>
          </w14:textFill>
        </w:rPr>
        <w:t>文件</w:t>
      </w:r>
      <w:r>
        <w:rPr>
          <w:rFonts w:hint="eastAsia" w:ascii="宋体" w:hAnsi="宋体" w:cs="Arial"/>
          <w:b/>
          <w:color w:val="000000" w:themeColor="text1"/>
          <w:sz w:val="24"/>
          <w:szCs w:val="24"/>
          <w:u w:val="single"/>
          <w:lang w:val="en-US" w:eastAsia="zh-CN"/>
          <w14:textFill>
            <w14:solidFill>
              <w14:schemeClr w14:val="tx1"/>
            </w14:solidFill>
          </w14:textFill>
        </w:rPr>
        <w:t>4</w:t>
      </w:r>
      <w:r>
        <w:rPr>
          <w:rFonts w:hint="eastAsia" w:ascii="宋体" w:hAnsi="宋体" w:cs="Arial"/>
          <w:b/>
          <w:color w:val="000000" w:themeColor="text1"/>
          <w:sz w:val="24"/>
          <w:szCs w:val="24"/>
          <w:u w:val="single"/>
          <w14:textFill>
            <w14:solidFill>
              <w14:schemeClr w14:val="tx1"/>
            </w14:solidFill>
          </w14:textFill>
        </w:rPr>
        <w:t>法人授权书（原件</w:t>
      </w:r>
      <w:r>
        <w:rPr>
          <w:rFonts w:ascii="宋体" w:hAnsi="宋体"/>
          <w:b/>
          <w:color w:val="000000" w:themeColor="text1"/>
          <w:sz w:val="24"/>
          <w:szCs w:val="24"/>
          <w:u w:val="single"/>
          <w14:textFill>
            <w14:solidFill>
              <w14:schemeClr w14:val="tx1"/>
            </w14:solidFill>
          </w14:textFill>
        </w:rPr>
        <w:t>,</w:t>
      </w:r>
      <w:r>
        <w:rPr>
          <w:rFonts w:hint="eastAsia" w:ascii="宋体" w:hAnsi="宋体" w:cs="Arial"/>
          <w:b/>
          <w:color w:val="000000" w:themeColor="text1"/>
          <w:sz w:val="24"/>
          <w:szCs w:val="24"/>
          <w:u w:val="single"/>
          <w14:textFill>
            <w14:solidFill>
              <w14:schemeClr w14:val="tx1"/>
            </w14:solidFill>
          </w14:textFill>
        </w:rPr>
        <w:t>格式见附表）（如有）</w:t>
      </w:r>
    </w:p>
    <w:p>
      <w:pPr>
        <w:snapToGrid w:val="0"/>
        <w:spacing w:before="50" w:afterLines="50" w:line="500" w:lineRule="exact"/>
        <w:ind w:firstLine="482"/>
        <w:jc w:val="left"/>
        <w:rPr>
          <w:rFonts w:ascii="宋体" w:hAnsi="宋体" w:cs="Arial"/>
          <w:b/>
          <w:color w:val="000000" w:themeColor="text1"/>
          <w:sz w:val="24"/>
          <w:szCs w:val="24"/>
          <w:u w:val="single"/>
          <w14:textFill>
            <w14:solidFill>
              <w14:schemeClr w14:val="tx1"/>
            </w14:solidFill>
          </w14:textFill>
        </w:rPr>
      </w:pPr>
      <w:r>
        <w:rPr>
          <w:rFonts w:hint="eastAsia" w:ascii="宋体" w:hAnsi="宋体" w:eastAsia="宋体" w:cs="宋体"/>
          <w:b/>
          <w:bCs/>
          <w:color w:val="000000"/>
          <w:sz w:val="24"/>
          <w:lang w:val="en-US" w:eastAsia="zh-CN"/>
        </w:rPr>
        <w:t>文件</w:t>
      </w:r>
      <w:r>
        <w:rPr>
          <w:rFonts w:hint="eastAsia" w:ascii="宋体" w:hAnsi="宋体" w:cs="宋体"/>
          <w:b/>
          <w:bCs/>
          <w:color w:val="000000"/>
          <w:sz w:val="24"/>
          <w:lang w:val="en-US" w:eastAsia="zh-CN"/>
        </w:rPr>
        <w:t>5</w:t>
      </w:r>
      <w:r>
        <w:rPr>
          <w:rFonts w:hint="eastAsia" w:ascii="宋体" w:hAnsi="宋体" w:cs="Arial"/>
          <w:b/>
          <w:color w:val="000000" w:themeColor="text1"/>
          <w:sz w:val="24"/>
          <w:szCs w:val="24"/>
          <w:u w:val="single"/>
          <w14:textFill>
            <w14:solidFill>
              <w14:schemeClr w14:val="tx1"/>
            </w14:solidFill>
          </w14:textFill>
        </w:rPr>
        <w:t>招标文件中规定要求提供的证明材料和投标人认为需要提供的其他材料</w:t>
      </w:r>
    </w:p>
    <w:p>
      <w:pPr>
        <w:pStyle w:val="5"/>
        <w:spacing w:line="500" w:lineRule="exact"/>
        <w:rPr>
          <w:rFonts w:hint="eastAsia" w:ascii="宋体" w:hAnsi="宋体"/>
          <w:b/>
          <w:color w:val="000000" w:themeColor="text1"/>
          <w:sz w:val="36"/>
          <w:szCs w:val="36"/>
          <w14:textFill>
            <w14:solidFill>
              <w14:schemeClr w14:val="tx1"/>
            </w14:solidFill>
          </w14:textFill>
        </w:rPr>
      </w:pPr>
      <w:bookmarkStart w:id="145" w:name="_Toc120614284"/>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hint="eastAsia" w:ascii="宋体" w:hAnsi="宋体"/>
          <w:b/>
          <w:color w:val="000000" w:themeColor="text1"/>
          <w:sz w:val="36"/>
          <w:szCs w:val="36"/>
          <w14:textFill>
            <w14:solidFill>
              <w14:schemeClr w14:val="tx1"/>
            </w14:solidFill>
          </w14:textFill>
        </w:rPr>
      </w:pPr>
    </w:p>
    <w:p>
      <w:pPr>
        <w:pStyle w:val="5"/>
        <w:spacing w:line="500" w:lineRule="exact"/>
        <w:rPr>
          <w:rFonts w:ascii="宋体"/>
          <w:b/>
          <w:color w:val="000000" w:themeColor="text1"/>
          <w:sz w:val="24"/>
          <w:szCs w:val="24"/>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具备履行合同所必需的设备和专业技术能力的书面声明</w:t>
      </w:r>
    </w:p>
    <w:p>
      <w:pPr>
        <w:spacing w:line="500" w:lineRule="exact"/>
        <w:ind w:firstLine="492"/>
        <w:rPr>
          <w:rFonts w:ascii="宋体" w:hAnsi="宋体"/>
          <w:bCs/>
          <w:color w:val="000000" w:themeColor="text1"/>
          <w:sz w:val="24"/>
          <w:szCs w:val="24"/>
          <w14:textFill>
            <w14:solidFill>
              <w14:schemeClr w14:val="tx1"/>
            </w14:solidFill>
          </w14:textFill>
        </w:rPr>
      </w:pP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主要设备有：</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w:t>
      </w:r>
    </w:p>
    <w:p>
      <w:pPr>
        <w:spacing w:line="500" w:lineRule="exact"/>
        <w:ind w:firstLine="492"/>
        <w:rPr>
          <w:rFonts w:asci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主要专业技术能力有：</w:t>
      </w:r>
      <w:r>
        <w:rPr>
          <w:rFonts w:hint="eastAsia" w:ascii="宋体" w:hAnsi="宋体"/>
          <w:bCs/>
          <w:color w:val="000000" w:themeColor="text1"/>
          <w:sz w:val="28"/>
          <w:szCs w:val="28"/>
          <w:u w:val="single"/>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w:t>
      </w:r>
    </w:p>
    <w:p>
      <w:pPr>
        <w:spacing w:line="500" w:lineRule="exac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p>
    <w:p>
      <w:pPr>
        <w:spacing w:line="500" w:lineRule="exact"/>
        <w:rPr>
          <w:rFonts w:ascii="宋体" w:hAns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p>
    <w:p>
      <w:pPr>
        <w:spacing w:line="500" w:lineRule="exact"/>
        <w:ind w:firstLine="6020" w:firstLineChars="2150"/>
        <w:rPr>
          <w:rFonts w:asci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投标人名称（公章）：</w:t>
      </w:r>
    </w:p>
    <w:p>
      <w:pPr>
        <w:spacing w:line="500" w:lineRule="exact"/>
        <w:rPr>
          <w:rFonts w:ascii="宋体"/>
          <w:bCs/>
          <w:color w:val="000000" w:themeColor="text1"/>
          <w:sz w:val="28"/>
          <w:szCs w:val="28"/>
          <w14:textFill>
            <w14:solidFill>
              <w14:schemeClr w14:val="tx1"/>
            </w14:solidFill>
          </w14:textFill>
        </w:rPr>
      </w:pPr>
    </w:p>
    <w:p>
      <w:pPr>
        <w:spacing w:line="500" w:lineRule="exact"/>
        <w:rPr>
          <w:rFonts w:asci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日期：  年 </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月</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 日</w:t>
      </w: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2"/>
        <w:spacing w:line="500" w:lineRule="exact"/>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参加政府采购活动前</w:t>
      </w:r>
      <w:r>
        <w:rPr>
          <w:rFonts w:ascii="宋体" w:hAnsi="宋体"/>
          <w:color w:val="000000" w:themeColor="text1"/>
          <w14:textFill>
            <w14:solidFill>
              <w14:schemeClr w14:val="tx1"/>
            </w14:solidFill>
          </w14:textFill>
        </w:rPr>
        <w:t xml:space="preserve"> 3 </w:t>
      </w:r>
      <w:r>
        <w:rPr>
          <w:rFonts w:hint="eastAsia" w:ascii="宋体" w:hAnsi="宋体"/>
          <w:color w:val="000000" w:themeColor="text1"/>
          <w14:textFill>
            <w14:solidFill>
              <w14:schemeClr w14:val="tx1"/>
            </w14:solidFill>
          </w14:textFill>
        </w:rPr>
        <w:t>年内在经营活动中</w:t>
      </w:r>
      <w:r>
        <w:rPr>
          <w:rFonts w:ascii="宋体"/>
          <w:color w:val="000000" w:themeColor="text1"/>
          <w14:textFill>
            <w14:solidFill>
              <w14:schemeClr w14:val="tx1"/>
            </w14:solidFill>
          </w14:textFill>
        </w:rPr>
        <w:br w:type="textWrapping"/>
      </w:r>
      <w:r>
        <w:rPr>
          <w:rFonts w:hint="eastAsia" w:ascii="宋体" w:hAnsi="宋体"/>
          <w:color w:val="000000" w:themeColor="text1"/>
          <w14:textFill>
            <w14:solidFill>
              <w14:schemeClr w14:val="tx1"/>
            </w14:solidFill>
          </w14:textFill>
        </w:rPr>
        <w:t>没有重大违法记录的书面声明</w:t>
      </w:r>
    </w:p>
    <w:p>
      <w:pPr>
        <w:spacing w:line="500" w:lineRule="exact"/>
        <w:rPr>
          <w:rFonts w:ascii="宋体"/>
          <w:b/>
          <w:bCs/>
          <w:color w:val="000000" w:themeColor="text1"/>
          <w:sz w:val="24"/>
          <w:szCs w:val="24"/>
          <w14:textFill>
            <w14:solidFill>
              <w14:schemeClr w14:val="tx1"/>
            </w14:solidFill>
          </w14:textFill>
        </w:rPr>
      </w:pPr>
    </w:p>
    <w:p>
      <w:pPr>
        <w:spacing w:line="500" w:lineRule="exact"/>
        <w:jc w:val="center"/>
        <w:rPr>
          <w:rFonts w:asci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声明</w:t>
      </w:r>
    </w:p>
    <w:p>
      <w:pPr>
        <w:spacing w:line="500" w:lineRule="exact"/>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我公司郑重声明：参加本次政府采购活动前</w:t>
      </w:r>
      <w:r>
        <w:rPr>
          <w:rFonts w:ascii="宋体" w:hAnsi="宋体"/>
          <w:bCs/>
          <w:color w:val="000000" w:themeColor="text1"/>
          <w:sz w:val="28"/>
          <w:szCs w:val="28"/>
          <w14:textFill>
            <w14:solidFill>
              <w14:schemeClr w14:val="tx1"/>
            </w14:solidFill>
          </w14:textFill>
        </w:rPr>
        <w:t xml:space="preserve"> 3 </w:t>
      </w:r>
      <w:r>
        <w:rPr>
          <w:rFonts w:hint="eastAsia" w:ascii="宋体" w:hAnsi="宋体"/>
          <w:bCs/>
          <w:color w:val="000000" w:themeColor="text1"/>
          <w:sz w:val="28"/>
          <w:szCs w:val="28"/>
          <w14:textFill>
            <w14:solidFill>
              <w14:schemeClr w14:val="tx1"/>
            </w14:solidFill>
          </w14:textFill>
        </w:rPr>
        <w:t>年内，我公司在经营活动中没有因违法经营受到刑事处罚或者责令停产停业、吊销许可证或者执照、较大数额罚款等行政处罚。</w:t>
      </w:r>
    </w:p>
    <w:p>
      <w:pPr>
        <w:spacing w:line="500" w:lineRule="exact"/>
        <w:ind w:firstLine="560" w:firstLineChars="200"/>
        <w:rPr>
          <w:rFonts w:ascii="宋体"/>
          <w:bCs/>
          <w:color w:val="000000" w:themeColor="text1"/>
          <w:sz w:val="28"/>
          <w:szCs w:val="28"/>
          <w14:textFill>
            <w14:solidFill>
              <w14:schemeClr w14:val="tx1"/>
            </w14:solidFill>
          </w14:textFill>
        </w:rPr>
      </w:pPr>
    </w:p>
    <w:p>
      <w:pPr>
        <w:spacing w:line="500" w:lineRule="exact"/>
        <w:rPr>
          <w:rFonts w:ascii="宋体" w:hAns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p>
    <w:p>
      <w:pPr>
        <w:spacing w:line="500" w:lineRule="exact"/>
        <w:ind w:firstLine="6020" w:firstLineChars="2150"/>
        <w:rPr>
          <w:rFonts w:asci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投标人名称（公章）：</w:t>
      </w:r>
    </w:p>
    <w:p>
      <w:pPr>
        <w:spacing w:line="500" w:lineRule="exact"/>
        <w:rPr>
          <w:rFonts w:ascii="宋体"/>
          <w:bCs/>
          <w:color w:val="000000" w:themeColor="text1"/>
          <w:sz w:val="28"/>
          <w:szCs w:val="28"/>
          <w14:textFill>
            <w14:solidFill>
              <w14:schemeClr w14:val="tx1"/>
            </w14:solidFill>
          </w14:textFill>
        </w:rPr>
      </w:pPr>
    </w:p>
    <w:p>
      <w:pPr>
        <w:spacing w:line="500" w:lineRule="exact"/>
        <w:rPr>
          <w:rFonts w:ascii="宋体"/>
          <w:bCs/>
          <w:color w:val="000000" w:themeColor="text1"/>
          <w:sz w:val="28"/>
          <w:szCs w:val="28"/>
          <w14:textFill>
            <w14:solidFill>
              <w14:schemeClr w14:val="tx1"/>
            </w14:solidFill>
          </w14:textFill>
        </w:rPr>
      </w:pP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日期： 年  </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 xml:space="preserve">月  </w:t>
      </w:r>
      <w:r>
        <w:rPr>
          <w:rFonts w:ascii="宋体" w:hAnsi="宋体"/>
          <w:bCs/>
          <w:color w:val="000000" w:themeColor="text1"/>
          <w:sz w:val="28"/>
          <w:szCs w:val="28"/>
          <w14:textFill>
            <w14:solidFill>
              <w14:schemeClr w14:val="tx1"/>
            </w14:solidFill>
          </w14:textFill>
        </w:rPr>
        <w:t xml:space="preserve"> </w:t>
      </w:r>
      <w:r>
        <w:rPr>
          <w:rFonts w:hint="eastAsia" w:ascii="宋体" w:hAnsi="宋体"/>
          <w:bCs/>
          <w:color w:val="000000" w:themeColor="text1"/>
          <w:sz w:val="28"/>
          <w:szCs w:val="28"/>
          <w14:textFill>
            <w14:solidFill>
              <w14:schemeClr w14:val="tx1"/>
            </w14:solidFill>
          </w14:textFill>
        </w:rPr>
        <w:t>日</w:t>
      </w:r>
    </w:p>
    <w:p>
      <w:pPr>
        <w:pStyle w:val="5"/>
        <w:spacing w:line="500" w:lineRule="exact"/>
        <w:ind w:firstLine="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 xml:space="preserve"> </w:t>
      </w: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5"/>
        <w:spacing w:line="500" w:lineRule="exact"/>
        <w:ind w:firstLine="0"/>
        <w:rPr>
          <w:rFonts w:ascii="宋体"/>
          <w:color w:val="000000" w:themeColor="text1"/>
          <w:sz w:val="24"/>
          <w:szCs w:val="24"/>
          <w14:textFill>
            <w14:solidFill>
              <w14:schemeClr w14:val="tx1"/>
            </w14:solidFill>
          </w14:textFill>
        </w:rPr>
      </w:pPr>
    </w:p>
    <w:p>
      <w:pPr>
        <w:pStyle w:val="2"/>
        <w:spacing w:line="500" w:lineRule="exact"/>
        <w:jc w:val="center"/>
        <w:rPr>
          <w:rFonts w:ascii="宋体"/>
          <w:color w:val="000000" w:themeColor="text1"/>
          <w:sz w:val="36"/>
          <w:szCs w:val="36"/>
          <w14:textFill>
            <w14:solidFill>
              <w14:schemeClr w14:val="tx1"/>
            </w14:solidFill>
          </w14:textFill>
        </w:rPr>
      </w:pPr>
      <w:r>
        <w:rPr>
          <w:rFonts w:hint="eastAsia" w:ascii="宋体" w:hAnsi="宋体"/>
          <w:color w:val="000000" w:themeColor="text1"/>
          <w:sz w:val="36"/>
          <w:szCs w:val="36"/>
          <w14:textFill>
            <w14:solidFill>
              <w14:schemeClr w14:val="tx1"/>
            </w14:solidFill>
          </w14:textFill>
        </w:rPr>
        <w:t>法人授权书</w:t>
      </w:r>
    </w:p>
    <w:p>
      <w:pPr>
        <w:pStyle w:val="88"/>
        <w:shd w:val="clear" w:color="auto" w:fill="auto"/>
        <w:spacing w:line="500" w:lineRule="exact"/>
        <w:ind w:firstLine="48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本授权书声明：</w:t>
      </w:r>
      <w:r>
        <w:rPr>
          <w:rFonts w:ascii="宋体" w:hAnsi="宋体"/>
          <w:color w:val="000000" w:themeColor="text1"/>
          <w14:textFill>
            <w14:solidFill>
              <w14:schemeClr w14:val="tx1"/>
            </w14:solidFill>
          </w14:textFill>
        </w:rPr>
        <w:t>____________</w:t>
      </w:r>
      <w:r>
        <w:rPr>
          <w:rFonts w:hint="eastAsia" w:ascii="宋体" w:hAnsi="宋体"/>
          <w:color w:val="000000" w:themeColor="text1"/>
          <w14:textFill>
            <w14:solidFill>
              <w14:schemeClr w14:val="tx1"/>
            </w14:solidFill>
          </w14:textFill>
        </w:rPr>
        <w:t>（投标人名称）授权</w:t>
      </w:r>
      <w:r>
        <w:rPr>
          <w:rFonts w:ascii="宋体" w:hAnsi="宋体"/>
          <w:color w:val="000000" w:themeColor="text1"/>
          <w14:textFill>
            <w14:solidFill>
              <w14:schemeClr w14:val="tx1"/>
            </w14:solidFill>
          </w14:textFill>
        </w:rPr>
        <w:t>________________</w:t>
      </w:r>
      <w:r>
        <w:rPr>
          <w:rFonts w:hint="eastAsia" w:ascii="宋体" w:hAnsi="宋体"/>
          <w:color w:val="000000" w:themeColor="text1"/>
          <w14:textFill>
            <w14:solidFill>
              <w14:schemeClr w14:val="tx1"/>
            </w14:solidFill>
          </w14:textFill>
        </w:rPr>
        <w:t>（被授权人姓名）为我方就</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项目采购活动的合法代理人，以本公司名义全权处理一切与该项目采购有关的事务。</w:t>
      </w:r>
    </w:p>
    <w:p>
      <w:pPr>
        <w:pStyle w:val="88"/>
        <w:shd w:val="clear" w:color="auto" w:fill="auto"/>
        <w:spacing w:line="500" w:lineRule="exact"/>
        <w:ind w:firstLine="48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本授权书于</w:t>
      </w:r>
      <w:r>
        <w:rPr>
          <w:rFonts w:ascii="宋体" w:hAnsi="宋体"/>
          <w:color w:val="000000" w:themeColor="text1"/>
          <w14:textFill>
            <w14:solidFill>
              <w14:schemeClr w14:val="tx1"/>
            </w14:solidFill>
          </w14:textFill>
        </w:rPr>
        <w:t>______</w:t>
      </w:r>
      <w:r>
        <w:rPr>
          <w:rFonts w:hint="eastAsia" w:ascii="宋体" w:hAnsi="宋体"/>
          <w:color w:val="000000" w:themeColor="text1"/>
          <w14:textFill>
            <w14:solidFill>
              <w14:schemeClr w14:val="tx1"/>
            </w14:solidFill>
          </w14:textFill>
        </w:rPr>
        <w:t>年</w:t>
      </w:r>
      <w:r>
        <w:rPr>
          <w:rFonts w:ascii="宋体" w:hAnsi="宋体"/>
          <w:color w:val="000000" w:themeColor="text1"/>
          <w14:textFill>
            <w14:solidFill>
              <w14:schemeClr w14:val="tx1"/>
            </w14:solidFill>
          </w14:textFill>
        </w:rPr>
        <w:t>____</w:t>
      </w:r>
      <w:r>
        <w:rPr>
          <w:rFonts w:hint="eastAsia" w:ascii="宋体" w:hAnsi="宋体"/>
          <w:color w:val="000000" w:themeColor="text1"/>
          <w14:textFill>
            <w14:solidFill>
              <w14:schemeClr w14:val="tx1"/>
            </w14:solidFill>
          </w14:textFill>
        </w:rPr>
        <w:t>月</w:t>
      </w:r>
      <w:r>
        <w:rPr>
          <w:rFonts w:ascii="宋体" w:hAnsi="宋体"/>
          <w:color w:val="000000" w:themeColor="text1"/>
          <w14:textFill>
            <w14:solidFill>
              <w14:schemeClr w14:val="tx1"/>
            </w14:solidFill>
          </w14:textFill>
        </w:rPr>
        <w:t>____</w:t>
      </w:r>
      <w:r>
        <w:rPr>
          <w:rFonts w:hint="eastAsia" w:ascii="宋体" w:hAnsi="宋体"/>
          <w:color w:val="000000" w:themeColor="text1"/>
          <w14:textFill>
            <w14:solidFill>
              <w14:schemeClr w14:val="tx1"/>
            </w14:solidFill>
          </w14:textFill>
        </w:rPr>
        <w:t>日起生效，特此声明。</w:t>
      </w:r>
    </w:p>
    <w:p>
      <w:pPr>
        <w:pStyle w:val="88"/>
        <w:shd w:val="clear" w:color="auto" w:fill="auto"/>
        <w:spacing w:line="500" w:lineRule="exac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p>
      <w:pPr>
        <w:pStyle w:val="88"/>
        <w:shd w:val="clear" w:color="auto" w:fill="auto"/>
        <w:spacing w:line="500" w:lineRule="exact"/>
        <w:ind w:firstLine="1200" w:firstLineChars="5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代理人（被授权人）：</w:t>
      </w:r>
      <w:r>
        <w:rPr>
          <w:rFonts w:ascii="宋体" w:hAnsi="宋体"/>
          <w:color w:val="000000" w:themeColor="text1"/>
          <w14:textFill>
            <w14:solidFill>
              <w14:schemeClr w14:val="tx1"/>
            </w14:solidFill>
          </w14:textFill>
        </w:rPr>
        <w:t>__________________</w:t>
      </w:r>
      <w:r>
        <w:rPr>
          <w:rFonts w:ascii="宋体" w:hAnsi="宋体"/>
          <w:color w:val="000000" w:themeColor="text1"/>
          <w:u w:val="single"/>
          <w14:textFill>
            <w14:solidFill>
              <w14:schemeClr w14:val="tx1"/>
            </w14:solidFill>
          </w14:textFill>
        </w:rPr>
        <w:t>_</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__</w:t>
      </w:r>
      <w:r>
        <w:rPr>
          <w:rFonts w:ascii="宋体" w:hAnsi="宋体"/>
          <w:color w:val="000000" w:themeColor="text1"/>
          <w14:textFill>
            <w14:solidFill>
              <w14:schemeClr w14:val="tx1"/>
            </w14:solidFill>
          </w14:textFill>
        </w:rPr>
        <w:t>__</w:t>
      </w:r>
    </w:p>
    <w:p>
      <w:pPr>
        <w:pStyle w:val="88"/>
        <w:shd w:val="clear" w:color="auto" w:fill="auto"/>
        <w:spacing w:line="500" w:lineRule="exac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单位名称：</w:t>
      </w:r>
      <w:r>
        <w:rPr>
          <w:rFonts w:ascii="宋体" w:hAnsi="宋体"/>
          <w:color w:val="000000" w:themeColor="text1"/>
          <w14:textFill>
            <w14:solidFill>
              <w14:schemeClr w14:val="tx1"/>
            </w14:solidFill>
          </w14:textFill>
        </w:rPr>
        <w:t>_____________________________________</w:t>
      </w:r>
    </w:p>
    <w:p>
      <w:pPr>
        <w:pStyle w:val="88"/>
        <w:shd w:val="clear" w:color="auto" w:fill="auto"/>
        <w:spacing w:line="500" w:lineRule="exact"/>
        <w:ind w:firstLine="480"/>
        <w:rPr>
          <w:rFonts w:ascii="宋体"/>
          <w:color w:val="000000" w:themeColor="text1"/>
          <w14:textFill>
            <w14:solidFill>
              <w14:schemeClr w14:val="tx1"/>
            </w14:solidFill>
          </w14:textFill>
        </w:rPr>
      </w:pPr>
    </w:p>
    <w:p>
      <w:pPr>
        <w:pStyle w:val="88"/>
        <w:shd w:val="clear" w:color="auto" w:fill="auto"/>
        <w:spacing w:line="500" w:lineRule="exact"/>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授权单位盖章：</w:t>
      </w:r>
      <w:r>
        <w:rPr>
          <w:rFonts w:ascii="宋体" w:hAnsi="宋体"/>
          <w:color w:val="000000" w:themeColor="text1"/>
          <w14:textFill>
            <w14:solidFill>
              <w14:schemeClr w14:val="tx1"/>
            </w14:solidFill>
          </w14:textFill>
        </w:rPr>
        <w:t>_________________________________</w:t>
      </w:r>
    </w:p>
    <w:p>
      <w:pPr>
        <w:pStyle w:val="88"/>
        <w:shd w:val="clear" w:color="auto" w:fill="auto"/>
        <w:spacing w:line="500" w:lineRule="exact"/>
        <w:ind w:firstLine="480"/>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单位名称：</w:t>
      </w:r>
      <w:r>
        <w:rPr>
          <w:rFonts w:ascii="宋体" w:hAnsi="宋体"/>
          <w:color w:val="000000" w:themeColor="text1"/>
          <w14:textFill>
            <w14:solidFill>
              <w14:schemeClr w14:val="tx1"/>
            </w14:solidFill>
          </w14:textFill>
        </w:rPr>
        <w:t>_____________________________________</w:t>
      </w:r>
    </w:p>
    <w:p>
      <w:pPr>
        <w:pStyle w:val="88"/>
        <w:shd w:val="clear" w:color="auto" w:fill="auto"/>
        <w:spacing w:line="500" w:lineRule="exact"/>
        <w:ind w:firstLine="1080" w:firstLineChars="450"/>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地</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址：</w:t>
      </w:r>
      <w:r>
        <w:rPr>
          <w:rFonts w:ascii="宋体" w:hAnsi="宋体"/>
          <w:color w:val="000000" w:themeColor="text1"/>
          <w14:textFill>
            <w14:solidFill>
              <w14:schemeClr w14:val="tx1"/>
            </w14:solidFill>
          </w14:textFill>
        </w:rPr>
        <w:t xml:space="preserve">_____________________________________                                       </w:t>
      </w:r>
    </w:p>
    <w:p>
      <w:pPr>
        <w:pStyle w:val="88"/>
        <w:shd w:val="clear" w:color="auto" w:fill="auto"/>
        <w:spacing w:line="500" w:lineRule="exact"/>
        <w:ind w:firstLine="1200" w:firstLineChars="50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期：</w:t>
      </w:r>
      <w:r>
        <w:rPr>
          <w:rFonts w:ascii="宋体" w:hAnsi="宋体"/>
          <w:color w:val="000000" w:themeColor="text1"/>
          <w14:textFill>
            <w14:solidFill>
              <w14:schemeClr w14:val="tx1"/>
            </w14:solidFill>
          </w14:textFill>
        </w:rPr>
        <w:t xml:space="preserve">_____________________________________ </w:t>
      </w:r>
    </w:p>
    <w:p>
      <w:pPr>
        <w:spacing w:line="560" w:lineRule="exact"/>
        <w:ind w:firstLine="240" w:firstLineChars="100"/>
        <w:jc w:val="center"/>
        <w:rPr>
          <w:rFonts w:ascii="宋体"/>
          <w:color w:val="000000" w:themeColor="text1"/>
          <w:sz w:val="24"/>
          <w:szCs w:val="24"/>
          <w14:textFill>
            <w14:solidFill>
              <w14:schemeClr w14:val="tx1"/>
            </w14:solidFill>
          </w14:textFill>
        </w:rPr>
      </w:pPr>
      <w:r>
        <w:rPr>
          <w:rFonts w:ascii="宋体"/>
          <w:color w:val="000000" w:themeColor="text1"/>
          <w:sz w:val="24"/>
          <w:szCs w:val="24"/>
          <w14:textFill>
            <w14:solidFill>
              <w14:schemeClr w14:val="tx1"/>
            </w14:solidFill>
          </w14:textFill>
        </w:rPr>
        <w:br w:type="page"/>
      </w:r>
    </w:p>
    <w:p>
      <w:pPr>
        <w:pStyle w:val="4"/>
        <w:spacing w:line="500" w:lineRule="exact"/>
        <w:rPr>
          <w:rFonts w:ascii="宋体" w:hAnsi="宋体" w:eastAsia="宋体" w:cs="Times New Roman"/>
          <w:bCs w:val="0"/>
          <w:color w:val="000000" w:themeColor="text1"/>
          <w:sz w:val="36"/>
          <w:szCs w:val="36"/>
          <w14:textFill>
            <w14:solidFill>
              <w14:schemeClr w14:val="tx1"/>
            </w14:solidFill>
          </w14:textFill>
        </w:rPr>
      </w:pPr>
      <w:r>
        <w:rPr>
          <w:rFonts w:hint="eastAsia" w:ascii="宋体" w:hAnsi="宋体" w:eastAsia="宋体"/>
          <w:b w:val="0"/>
          <w:color w:val="000000" w:themeColor="text1"/>
          <w:sz w:val="36"/>
          <w:szCs w:val="36"/>
          <w14:textFill>
            <w14:solidFill>
              <w14:schemeClr w14:val="tx1"/>
            </w14:solidFill>
          </w14:textFill>
        </w:rPr>
        <w:t>三、</w:t>
      </w:r>
      <w:r>
        <w:rPr>
          <w:rFonts w:hint="eastAsia" w:ascii="宋体" w:hAnsi="宋体" w:eastAsia="宋体" w:cs="Times New Roman"/>
          <w:bCs w:val="0"/>
          <w:color w:val="000000" w:themeColor="text1"/>
          <w:sz w:val="36"/>
          <w:szCs w:val="36"/>
          <w14:textFill>
            <w14:solidFill>
              <w14:schemeClr w14:val="tx1"/>
            </w14:solidFill>
          </w14:textFill>
        </w:rPr>
        <w:t>投标函格式</w:t>
      </w:r>
    </w:p>
    <w:p>
      <w:pPr>
        <w:pStyle w:val="75"/>
        <w:spacing w:before="0" w:after="0" w:line="480" w:lineRule="exact"/>
        <w:ind w:firstLine="0"/>
        <w:rPr>
          <w:rFonts w:ascii="宋体" w:hAnsi="宋体"/>
          <w:color w:val="000000" w:themeColor="text1"/>
          <w:kern w:val="2"/>
          <w:u w:val="single"/>
          <w14:textFill>
            <w14:solidFill>
              <w14:schemeClr w14:val="tx1"/>
            </w14:solidFill>
          </w14:textFill>
        </w:rPr>
      </w:pPr>
      <w:r>
        <w:rPr>
          <w:rFonts w:hint="eastAsia" w:ascii="宋体" w:hAnsi="宋体"/>
          <w:color w:val="000000" w:themeColor="text1"/>
          <w:kern w:val="2"/>
          <w14:textFill>
            <w14:solidFill>
              <w14:schemeClr w14:val="tx1"/>
            </w14:solidFill>
          </w14:textFill>
        </w:rPr>
        <w:t>致：</w:t>
      </w:r>
      <w:r>
        <w:rPr>
          <w:rFonts w:ascii="宋体" w:hAnsi="宋体"/>
          <w:color w:val="000000" w:themeColor="text1"/>
          <w:kern w:val="2"/>
          <w:u w:val="single"/>
          <w14:textFill>
            <w14:solidFill>
              <w14:schemeClr w14:val="tx1"/>
            </w14:solidFill>
          </w14:textFill>
        </w:rPr>
        <w:t xml:space="preserve">    </w:t>
      </w:r>
      <w:r>
        <w:rPr>
          <w:rFonts w:hint="eastAsia" w:ascii="宋体" w:hAnsi="宋体"/>
          <w:color w:val="000000" w:themeColor="text1"/>
          <w:kern w:val="2"/>
          <w:u w:val="single"/>
          <w14:textFill>
            <w14:solidFill>
              <w14:schemeClr w14:val="tx1"/>
            </w14:solidFill>
          </w14:textFill>
        </w:rPr>
        <w:t xml:space="preserve">           （采购人名称</w:t>
      </w:r>
      <w:r>
        <w:rPr>
          <w:rFonts w:ascii="宋体" w:hAnsi="宋体"/>
          <w:color w:val="000000" w:themeColor="text1"/>
          <w:kern w:val="2"/>
          <w:u w:val="single"/>
          <w14:textFill>
            <w14:solidFill>
              <w14:schemeClr w14:val="tx1"/>
            </w14:solidFill>
          </w14:textFill>
        </w:rPr>
        <w:t xml:space="preserve"> </w:t>
      </w:r>
      <w:r>
        <w:rPr>
          <w:rFonts w:hint="eastAsia" w:ascii="宋体" w:hAnsi="宋体"/>
          <w:color w:val="000000" w:themeColor="text1"/>
          <w:kern w:val="2"/>
          <w:u w:val="single"/>
          <w14:textFill>
            <w14:solidFill>
              <w14:schemeClr w14:val="tx1"/>
            </w14:solidFill>
          </w14:textFill>
        </w:rPr>
        <w:t>）</w:t>
      </w:r>
      <w:r>
        <w:rPr>
          <w:rFonts w:ascii="宋体" w:hAnsi="宋体"/>
          <w:color w:val="000000" w:themeColor="text1"/>
          <w:kern w:val="2"/>
          <w14:textFill>
            <w14:solidFill>
              <w14:schemeClr w14:val="tx1"/>
            </w14:solidFill>
          </w14:textFill>
        </w:rPr>
        <w:t xml:space="preserve"> </w:t>
      </w:r>
    </w:p>
    <w:p>
      <w:pPr>
        <w:pStyle w:val="75"/>
        <w:spacing w:before="0" w:after="0" w:line="480" w:lineRule="exact"/>
        <w:ind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根据贵方的</w:t>
      </w:r>
      <w:r>
        <w:rPr>
          <w:rFonts w:hint="eastAsia" w:ascii="宋体" w:hAnsi="宋体"/>
          <w:color w:val="000000" w:themeColor="text1"/>
          <w:u w:val="single"/>
          <w14:textFill>
            <w14:solidFill>
              <w14:schemeClr w14:val="tx1"/>
            </w14:solidFill>
          </w14:textFill>
        </w:rPr>
        <w:t xml:space="preserve">      </w:t>
      </w:r>
      <w:r>
        <w:rPr>
          <w:rFonts w:ascii="宋体" w:hAnsi="宋体"/>
          <w:color w:val="000000" w:themeColor="text1"/>
          <w:u w:val="single"/>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(项目名称)</w:t>
      </w:r>
      <w:r>
        <w:rPr>
          <w:rFonts w:hint="eastAsia" w:ascii="宋体" w:hAnsi="宋体"/>
          <w:color w:val="000000" w:themeColor="text1"/>
          <w:kern w:val="2"/>
          <w14:textFill>
            <w14:solidFill>
              <w14:schemeClr w14:val="tx1"/>
            </w14:solidFill>
          </w14:textFill>
        </w:rPr>
        <w:t>招标文件，正式授权下述签字人</w:t>
      </w:r>
      <w:r>
        <w:rPr>
          <w:rFonts w:ascii="宋体" w:hAnsi="宋体"/>
          <w:color w:val="000000" w:themeColor="text1"/>
          <w:kern w:val="2"/>
          <w14:textFill>
            <w14:solidFill>
              <w14:schemeClr w14:val="tx1"/>
            </w14:solidFill>
          </w14:textFill>
        </w:rPr>
        <w:t>________(</w:t>
      </w:r>
      <w:r>
        <w:rPr>
          <w:rFonts w:hint="eastAsia" w:ascii="宋体" w:hAnsi="宋体"/>
          <w:color w:val="000000" w:themeColor="text1"/>
          <w:kern w:val="2"/>
          <w14:textFill>
            <w14:solidFill>
              <w14:schemeClr w14:val="tx1"/>
            </w14:solidFill>
          </w14:textFill>
        </w:rPr>
        <w:t>姓名</w:t>
      </w:r>
      <w:r>
        <w:rPr>
          <w:rFonts w:ascii="宋体" w:hAnsi="宋体"/>
          <w:color w:val="000000" w:themeColor="text1"/>
          <w:kern w:val="2"/>
          <w14:textFill>
            <w14:solidFill>
              <w14:schemeClr w14:val="tx1"/>
            </w14:solidFill>
          </w14:textFill>
        </w:rPr>
        <w:t>)</w:t>
      </w:r>
      <w:r>
        <w:rPr>
          <w:rFonts w:hint="eastAsia" w:ascii="宋体" w:hAnsi="宋体"/>
          <w:color w:val="000000" w:themeColor="text1"/>
          <w:kern w:val="2"/>
          <w14:textFill>
            <w14:solidFill>
              <w14:schemeClr w14:val="tx1"/>
            </w14:solidFill>
          </w14:textFill>
        </w:rPr>
        <w:t>代表我方</w:t>
      </w:r>
      <w:r>
        <w:rPr>
          <w:rFonts w:ascii="宋体" w:hAnsi="宋体"/>
          <w:color w:val="000000" w:themeColor="text1"/>
          <w:kern w:val="2"/>
          <w14:textFill>
            <w14:solidFill>
              <w14:schemeClr w14:val="tx1"/>
            </w14:solidFill>
          </w14:textFill>
        </w:rPr>
        <w:t>______</w:t>
      </w:r>
      <w:r>
        <w:rPr>
          <w:rFonts w:ascii="宋体" w:hAnsi="宋体"/>
          <w:color w:val="000000" w:themeColor="text1"/>
          <w:kern w:val="2"/>
          <w:u w:val="single"/>
          <w14:textFill>
            <w14:solidFill>
              <w14:schemeClr w14:val="tx1"/>
            </w14:solidFill>
          </w14:textFill>
        </w:rPr>
        <w:t>_</w:t>
      </w:r>
      <w:r>
        <w:rPr>
          <w:rFonts w:hint="eastAsia" w:ascii="宋体" w:hAnsi="宋体"/>
          <w:color w:val="000000" w:themeColor="text1"/>
          <w:kern w:val="2"/>
          <w:u w:val="single"/>
          <w14:textFill>
            <w14:solidFill>
              <w14:schemeClr w14:val="tx1"/>
            </w14:solidFill>
          </w14:textFill>
        </w:rPr>
        <w:t xml:space="preserve">    </w:t>
      </w:r>
      <w:r>
        <w:rPr>
          <w:rFonts w:ascii="宋体" w:hAnsi="宋体"/>
          <w:color w:val="000000" w:themeColor="text1"/>
          <w:kern w:val="2"/>
          <w:u w:val="single"/>
          <w14:textFill>
            <w14:solidFill>
              <w14:schemeClr w14:val="tx1"/>
            </w14:solidFill>
          </w14:textFill>
        </w:rPr>
        <w:t>_</w:t>
      </w:r>
      <w:r>
        <w:rPr>
          <w:rFonts w:hint="eastAsia" w:ascii="宋体" w:hAnsi="宋体"/>
          <w:color w:val="000000" w:themeColor="text1"/>
          <w:kern w:val="2"/>
          <w14:textFill>
            <w14:solidFill>
              <w14:schemeClr w14:val="tx1"/>
            </w14:solidFill>
          </w14:textFill>
        </w:rPr>
        <w:t>（投标人名称），全权处理本次项目投标的有关事宜。</w:t>
      </w:r>
    </w:p>
    <w:p>
      <w:pPr>
        <w:pStyle w:val="75"/>
        <w:spacing w:before="0" w:after="0" w:line="480" w:lineRule="exact"/>
        <w:ind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据此函，</w:t>
      </w:r>
      <w:r>
        <w:rPr>
          <w:rFonts w:ascii="宋体" w:hAnsi="宋体"/>
          <w:color w:val="000000" w:themeColor="text1"/>
          <w:kern w:val="2"/>
          <w14:textFill>
            <w14:solidFill>
              <w14:schemeClr w14:val="tx1"/>
            </w14:solidFill>
          </w14:textFill>
        </w:rPr>
        <w:t>__________</w:t>
      </w:r>
      <w:r>
        <w:rPr>
          <w:rFonts w:hint="eastAsia" w:ascii="宋体" w:hAnsi="宋体"/>
          <w:color w:val="000000" w:themeColor="text1"/>
          <w:kern w:val="2"/>
          <w14:textFill>
            <w14:solidFill>
              <w14:schemeClr w14:val="tx1"/>
            </w14:solidFill>
          </w14:textFill>
        </w:rPr>
        <w:t>签字人兹宣布同意如下：</w:t>
      </w:r>
    </w:p>
    <w:p>
      <w:pPr>
        <w:pStyle w:val="75"/>
        <w:spacing w:before="0" w:after="0" w:line="480" w:lineRule="exact"/>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1.</w:t>
      </w:r>
      <w:r>
        <w:rPr>
          <w:rFonts w:hint="eastAsia" w:ascii="宋体" w:hAnsi="宋体"/>
          <w:color w:val="000000" w:themeColor="text1"/>
          <w:kern w:val="2"/>
          <w14:textFill>
            <w14:solidFill>
              <w14:schemeClr w14:val="tx1"/>
            </w14:solidFill>
          </w14:textFill>
        </w:rPr>
        <w:t>按招标文件规定的各项要求，向买方提供所需货物与服务。</w:t>
      </w:r>
    </w:p>
    <w:p>
      <w:pPr>
        <w:pStyle w:val="75"/>
        <w:spacing w:before="0" w:after="0" w:line="480" w:lineRule="exact"/>
        <w:ind w:firstLineChars="200"/>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2.</w:t>
      </w:r>
      <w:r>
        <w:rPr>
          <w:rFonts w:hint="eastAsia" w:ascii="宋体" w:hAnsi="宋体"/>
          <w:color w:val="000000" w:themeColor="text1"/>
          <w:kern w:val="2"/>
          <w14:textFill>
            <w14:solidFill>
              <w14:schemeClr w14:val="tx1"/>
            </w14:solidFill>
          </w14:textFill>
        </w:rPr>
        <w:t>我们完全理解贵方不一定将合同授予最低报价的投标人。</w:t>
      </w:r>
    </w:p>
    <w:p>
      <w:pPr>
        <w:pStyle w:val="75"/>
        <w:spacing w:before="0" w:after="0" w:line="480" w:lineRule="exact"/>
        <w:ind w:firstLineChars="200"/>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3.</w:t>
      </w:r>
      <w:r>
        <w:rPr>
          <w:rFonts w:hint="eastAsia" w:ascii="宋体" w:hAnsi="宋体"/>
          <w:color w:val="000000" w:themeColor="text1"/>
          <w:kern w:val="2"/>
          <w14:textFill>
            <w14:solidFill>
              <w14:schemeClr w14:val="tx1"/>
            </w14:solidFill>
          </w14:textFill>
        </w:rPr>
        <w:t>我们已详细审核全部招标文件及其有效补充文件，我们知道必须放弃提出含糊不清或误解问题的权利。</w:t>
      </w:r>
    </w:p>
    <w:p>
      <w:pPr>
        <w:pStyle w:val="75"/>
        <w:spacing w:before="0" w:after="0" w:line="480" w:lineRule="exact"/>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4.</w:t>
      </w:r>
      <w:r>
        <w:rPr>
          <w:rFonts w:hint="eastAsia" w:ascii="宋体" w:hAnsi="宋体"/>
          <w:color w:val="000000" w:themeColor="text1"/>
          <w:kern w:val="2"/>
          <w14:textFill>
            <w14:solidFill>
              <w14:schemeClr w14:val="tx1"/>
            </w14:solidFill>
          </w14:textFill>
        </w:rPr>
        <w:t>我们同意从规定的开标日期起遵循本投标文件，并在规定的投标有效期期满之前均具有约束力。</w:t>
      </w:r>
    </w:p>
    <w:p>
      <w:pPr>
        <w:pStyle w:val="75"/>
        <w:spacing w:before="0" w:after="0" w:line="420" w:lineRule="exact"/>
        <w:rPr>
          <w:rFonts w:hint="eastAsia" w:ascii="宋体" w:hAnsi="宋体"/>
          <w:color w:val="000000"/>
          <w:kern w:val="2"/>
          <w:szCs w:val="21"/>
        </w:rPr>
      </w:pPr>
      <w:r>
        <w:rPr>
          <w:rFonts w:ascii="宋体" w:hAnsi="宋体"/>
          <w:color w:val="000000" w:themeColor="text1"/>
          <w:kern w:val="2"/>
          <w14:textFill>
            <w14:solidFill>
              <w14:schemeClr w14:val="tx1"/>
            </w14:solidFill>
          </w14:textFill>
        </w:rPr>
        <w:t>5.</w:t>
      </w:r>
      <w:r>
        <w:rPr>
          <w:rFonts w:hint="eastAsia" w:ascii="宋体" w:hAnsi="宋体"/>
          <w:color w:val="000000"/>
          <w:kern w:val="2"/>
          <w:szCs w:val="21"/>
        </w:rPr>
        <w:t>如果在开标后规定的投标有效期内撤回投标或中标后拒绝签订合同，则按照国家相关法律法规受到相应处罚。</w:t>
      </w:r>
    </w:p>
    <w:p>
      <w:pPr>
        <w:pStyle w:val="75"/>
        <w:spacing w:before="0" w:after="0" w:line="480" w:lineRule="exact"/>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6.</w:t>
      </w:r>
      <w:r>
        <w:rPr>
          <w:rFonts w:hint="eastAsia" w:ascii="宋体" w:hAnsi="宋体"/>
          <w:color w:val="000000" w:themeColor="text1"/>
          <w:kern w:val="2"/>
          <w14:textFill>
            <w14:solidFill>
              <w14:schemeClr w14:val="tx1"/>
            </w14:solidFill>
          </w14:textFill>
        </w:rPr>
        <w:t>同意向贵方提供贵方可能另外要求的与投标有关的任何证据或资料，并保证我方已提供和将要提供的文件是真实的、准确的。</w:t>
      </w:r>
    </w:p>
    <w:p>
      <w:pPr>
        <w:pStyle w:val="75"/>
        <w:spacing w:before="0" w:after="0" w:line="480" w:lineRule="exact"/>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7.</w:t>
      </w:r>
      <w:r>
        <w:rPr>
          <w:rFonts w:hint="eastAsia" w:ascii="宋体" w:hAnsi="宋体"/>
          <w:color w:val="000000" w:themeColor="text1"/>
          <w:kern w:val="2"/>
          <w14:textFill>
            <w14:solidFill>
              <w14:schemeClr w14:val="tx1"/>
            </w14:solidFill>
          </w14:textFill>
        </w:rPr>
        <w:t>一旦我方中标</w:t>
      </w:r>
      <w:r>
        <w:rPr>
          <w:rFonts w:ascii="宋体" w:hAnsi="宋体"/>
          <w:color w:val="000000" w:themeColor="text1"/>
          <w:kern w:val="2"/>
          <w14:textFill>
            <w14:solidFill>
              <w14:schemeClr w14:val="tx1"/>
            </w14:solidFill>
          </w14:textFill>
        </w:rPr>
        <w:t>,</w:t>
      </w:r>
      <w:r>
        <w:rPr>
          <w:rFonts w:hint="eastAsia" w:ascii="宋体" w:hAnsi="宋体"/>
          <w:color w:val="000000" w:themeColor="text1"/>
          <w:kern w:val="2"/>
          <w14:textFill>
            <w14:solidFill>
              <w14:schemeClr w14:val="tx1"/>
            </w14:solidFill>
          </w14:textFill>
        </w:rPr>
        <w:t>我方将根据招标文件的规定，严格履行合同的责任和义务</w:t>
      </w:r>
      <w:r>
        <w:rPr>
          <w:rFonts w:ascii="宋体" w:hAnsi="宋体"/>
          <w:color w:val="000000" w:themeColor="text1"/>
          <w:kern w:val="2"/>
          <w14:textFill>
            <w14:solidFill>
              <w14:schemeClr w14:val="tx1"/>
            </w14:solidFill>
          </w14:textFill>
        </w:rPr>
        <w:t>,</w:t>
      </w:r>
      <w:r>
        <w:rPr>
          <w:rFonts w:hint="eastAsia" w:ascii="宋体" w:hAnsi="宋体"/>
          <w:color w:val="000000" w:themeColor="text1"/>
          <w:kern w:val="2"/>
          <w14:textFill>
            <w14:solidFill>
              <w14:schemeClr w14:val="tx1"/>
            </w14:solidFill>
          </w14:textFill>
        </w:rPr>
        <w:t>并保证在招标文件规定的时间完成项目，交付买方验收、使用。</w:t>
      </w:r>
    </w:p>
    <w:p>
      <w:pPr>
        <w:pStyle w:val="75"/>
        <w:spacing w:before="0" w:after="0" w:line="480" w:lineRule="exact"/>
        <w:ind w:left="425" w:firstLine="0"/>
        <w:rPr>
          <w:rFonts w:ascii="宋体"/>
          <w:color w:val="000000" w:themeColor="text1"/>
          <w:kern w:val="2"/>
          <w14:textFill>
            <w14:solidFill>
              <w14:schemeClr w14:val="tx1"/>
            </w14:solidFill>
          </w14:textFill>
        </w:rPr>
      </w:pPr>
      <w:r>
        <w:rPr>
          <w:rFonts w:ascii="宋体" w:hAnsi="宋体"/>
          <w:color w:val="000000" w:themeColor="text1"/>
          <w:kern w:val="2"/>
          <w14:textFill>
            <w14:solidFill>
              <w14:schemeClr w14:val="tx1"/>
            </w14:solidFill>
          </w14:textFill>
        </w:rPr>
        <w:t>8.</w:t>
      </w:r>
      <w:r>
        <w:rPr>
          <w:rFonts w:hint="eastAsia" w:ascii="宋体" w:hAnsi="宋体"/>
          <w:color w:val="000000" w:themeColor="text1"/>
          <w:kern w:val="2"/>
          <w14:textFill>
            <w14:solidFill>
              <w14:schemeClr w14:val="tx1"/>
            </w14:solidFill>
          </w14:textFill>
        </w:rPr>
        <w:t>与本投标有关的正式通讯地址为：</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地址：</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邮编：</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电话：</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传真：</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投标人开户行：</w:t>
      </w:r>
    </w:p>
    <w:p>
      <w:pPr>
        <w:pStyle w:val="75"/>
        <w:spacing w:before="0" w:after="0" w:line="480" w:lineRule="exact"/>
        <w:ind w:left="420" w:leftChars="200" w:firstLineChars="200"/>
        <w:rPr>
          <w:rFonts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账</w:t>
      </w:r>
      <w:r>
        <w:rPr>
          <w:rFonts w:ascii="宋体" w:hAnsi="宋体"/>
          <w:color w:val="000000" w:themeColor="text1"/>
          <w:kern w:val="2"/>
          <w14:textFill>
            <w14:solidFill>
              <w14:schemeClr w14:val="tx1"/>
            </w14:solidFill>
          </w14:textFill>
        </w:rPr>
        <w:t xml:space="preserve">          </w:t>
      </w:r>
      <w:r>
        <w:rPr>
          <w:rFonts w:hint="eastAsia" w:ascii="宋体" w:hAnsi="宋体"/>
          <w:color w:val="000000" w:themeColor="text1"/>
          <w:kern w:val="2"/>
          <w14:textFill>
            <w14:solidFill>
              <w14:schemeClr w14:val="tx1"/>
            </w14:solidFill>
          </w14:textFill>
        </w:rPr>
        <w:t>户：</w:t>
      </w:r>
      <w:r>
        <w:rPr>
          <w:rFonts w:ascii="宋体" w:hAnsi="宋体"/>
          <w:color w:val="000000" w:themeColor="text1"/>
          <w:kern w:val="2"/>
          <w14:textFill>
            <w14:solidFill>
              <w14:schemeClr w14:val="tx1"/>
            </w14:solidFill>
          </w14:textFill>
        </w:rPr>
        <w:t xml:space="preserve"> </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投标人授权代表姓名（签字）：</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投标人名称（公章）：</w:t>
      </w:r>
    </w:p>
    <w:p>
      <w:pPr>
        <w:pStyle w:val="75"/>
        <w:spacing w:before="0" w:after="0" w:line="480" w:lineRule="exact"/>
        <w:ind w:left="420" w:leftChars="200" w:firstLineChars="200"/>
        <w:rPr>
          <w:rFonts w:asci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日期：</w:t>
      </w:r>
      <w:r>
        <w:rPr>
          <w:rFonts w:ascii="宋体" w:hAnsi="宋体"/>
          <w:color w:val="000000" w:themeColor="text1"/>
          <w:kern w:val="2"/>
          <w14:textFill>
            <w14:solidFill>
              <w14:schemeClr w14:val="tx1"/>
            </w14:solidFill>
          </w14:textFill>
        </w:rPr>
        <w:t>_____</w:t>
      </w:r>
      <w:r>
        <w:rPr>
          <w:rFonts w:hint="eastAsia" w:ascii="宋体" w:hAnsi="宋体"/>
          <w:color w:val="000000" w:themeColor="text1"/>
          <w:kern w:val="2"/>
          <w14:textFill>
            <w14:solidFill>
              <w14:schemeClr w14:val="tx1"/>
            </w14:solidFill>
          </w14:textFill>
        </w:rPr>
        <w:t>年</w:t>
      </w:r>
      <w:r>
        <w:rPr>
          <w:rFonts w:ascii="宋体" w:hAnsi="宋体"/>
          <w:color w:val="000000" w:themeColor="text1"/>
          <w:kern w:val="2"/>
          <w14:textFill>
            <w14:solidFill>
              <w14:schemeClr w14:val="tx1"/>
            </w14:solidFill>
          </w14:textFill>
        </w:rPr>
        <w:t>____</w:t>
      </w:r>
      <w:r>
        <w:rPr>
          <w:rFonts w:hint="eastAsia" w:ascii="宋体" w:hAnsi="宋体"/>
          <w:color w:val="000000" w:themeColor="text1"/>
          <w:kern w:val="2"/>
          <w14:textFill>
            <w14:solidFill>
              <w14:schemeClr w14:val="tx1"/>
            </w14:solidFill>
          </w14:textFill>
        </w:rPr>
        <w:t>月</w:t>
      </w:r>
      <w:r>
        <w:rPr>
          <w:rFonts w:ascii="宋体" w:hAnsi="宋体"/>
          <w:color w:val="000000" w:themeColor="text1"/>
          <w:kern w:val="2"/>
          <w14:textFill>
            <w14:solidFill>
              <w14:schemeClr w14:val="tx1"/>
            </w14:solidFill>
          </w14:textFill>
        </w:rPr>
        <w:t>____</w:t>
      </w:r>
      <w:r>
        <w:rPr>
          <w:rFonts w:hint="eastAsia" w:ascii="宋体" w:hAnsi="宋体"/>
          <w:color w:val="000000" w:themeColor="text1"/>
          <w:kern w:val="2"/>
          <w14:textFill>
            <w14:solidFill>
              <w14:schemeClr w14:val="tx1"/>
            </w14:solidFill>
          </w14:textFill>
        </w:rPr>
        <w:t>日</w:t>
      </w:r>
    </w:p>
    <w:p>
      <w:pPr>
        <w:pStyle w:val="4"/>
        <w:spacing w:line="500" w:lineRule="exact"/>
        <w:rPr>
          <w:rFonts w:ascii="宋体" w:hAnsi="宋体" w:eastAsia="宋体"/>
          <w:color w:val="000000" w:themeColor="text1"/>
          <w:sz w:val="36"/>
          <w:szCs w:val="36"/>
          <w14:textFill>
            <w14:solidFill>
              <w14:schemeClr w14:val="tx1"/>
            </w14:solidFill>
          </w14:textFill>
        </w:rPr>
      </w:pPr>
      <w:r>
        <w:rPr>
          <w:rFonts w:hint="eastAsia" w:ascii="宋体" w:hAnsi="宋体" w:eastAsia="宋体" w:cs="Times New Roman"/>
          <w:bCs w:val="0"/>
          <w:color w:val="000000" w:themeColor="text1"/>
          <w:sz w:val="36"/>
          <w:szCs w:val="36"/>
          <w14:textFill>
            <w14:solidFill>
              <w14:schemeClr w14:val="tx1"/>
            </w14:solidFill>
          </w14:textFill>
        </w:rPr>
        <w:t>四、</w:t>
      </w:r>
      <w:r>
        <w:rPr>
          <w:rFonts w:hint="eastAsia" w:ascii="宋体" w:hAnsi="宋体" w:eastAsia="宋体"/>
          <w:color w:val="000000" w:themeColor="text1"/>
          <w:sz w:val="36"/>
          <w:szCs w:val="36"/>
          <w14:textFill>
            <w14:solidFill>
              <w14:schemeClr w14:val="tx1"/>
            </w14:solidFill>
          </w14:textFill>
        </w:rPr>
        <w:t>开标一览表</w:t>
      </w:r>
    </w:p>
    <w:tbl>
      <w:tblPr>
        <w:tblStyle w:val="34"/>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spacing w:line="500" w:lineRule="exact"/>
              <w:ind w:firstLine="482" w:firstLineChars="200"/>
              <w:rPr>
                <w:rFonts w:asci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项目名称</w:t>
            </w:r>
          </w:p>
        </w:tc>
        <w:tc>
          <w:tcPr>
            <w:tcW w:w="7445" w:type="dxa"/>
            <w:vAlign w:val="center"/>
          </w:tcPr>
          <w:p>
            <w:pPr>
              <w:pStyle w:val="4"/>
              <w:spacing w:line="500" w:lineRule="exac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龙冈消防站彩色喷泉工程设备采购项目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10145" w:type="dxa"/>
            <w:gridSpan w:val="2"/>
            <w:vAlign w:val="center"/>
          </w:tcPr>
          <w:p>
            <w:pPr>
              <w:spacing w:line="500" w:lineRule="exact"/>
              <w:ind w:firstLine="482" w:firstLineChars="200"/>
              <w:rPr>
                <w:rFonts w:ascii="宋体"/>
                <w:b/>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项目投标报价：</w:t>
            </w:r>
            <w:r>
              <w:rPr>
                <w:rFonts w:hint="eastAsia" w:ascii="宋体" w:hAnsi="宋体"/>
                <w:b/>
                <w:color w:val="000000" w:themeColor="text1"/>
                <w:sz w:val="24"/>
                <w:szCs w:val="24"/>
                <w14:textFill>
                  <w14:solidFill>
                    <w14:schemeClr w14:val="tx1"/>
                  </w14:solidFill>
                </w14:textFill>
              </w:rPr>
              <w:t>人民币（大写）</w:t>
            </w:r>
            <w:r>
              <w:rPr>
                <w:rFonts w:hint="eastAsia" w:ascii="新宋体" w:hAnsi="新宋体" w:eastAsia="新宋体"/>
                <w:b/>
                <w:sz w:val="24"/>
                <w:u w:val="single"/>
              </w:rPr>
              <w:t xml:space="preserve">                  </w:t>
            </w:r>
            <w:r>
              <w:rPr>
                <w:rFonts w:hint="eastAsia" w:ascii="宋体" w:hAnsi="宋体"/>
                <w:b/>
                <w:color w:val="000000" w:themeColor="text1"/>
                <w:sz w:val="24"/>
                <w:szCs w:val="24"/>
                <w14:textFill>
                  <w14:solidFill>
                    <w14:schemeClr w14:val="tx1"/>
                  </w14:solidFill>
                </w14:textFill>
              </w:rPr>
              <w:t>元整</w:t>
            </w:r>
            <w:r>
              <w:rPr>
                <w:rFonts w:hint="eastAsia" w:ascii="新宋体" w:hAnsi="新宋体" w:eastAsia="新宋体"/>
                <w:b/>
                <w:sz w:val="24"/>
              </w:rPr>
              <w:t>（￥</w:t>
            </w:r>
            <w:r>
              <w:rPr>
                <w:rFonts w:hint="eastAsia" w:ascii="新宋体" w:hAnsi="新宋体" w:eastAsia="新宋体"/>
                <w:b/>
                <w:sz w:val="24"/>
                <w:u w:val="single"/>
              </w:rPr>
              <w:t xml:space="preserve">         </w:t>
            </w:r>
            <w:r>
              <w:rPr>
                <w:rFonts w:hint="eastAsia" w:ascii="新宋体" w:hAnsi="新宋体" w:eastAsia="新宋体"/>
                <w:b/>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0145" w:type="dxa"/>
            <w:gridSpan w:val="2"/>
            <w:vAlign w:val="center"/>
          </w:tcPr>
          <w:p>
            <w:pPr>
              <w:spacing w:line="500" w:lineRule="exact"/>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lang w:val="en-US" w:eastAsia="zh-CN"/>
                <w14:textFill>
                  <w14:solidFill>
                    <w14:schemeClr w14:val="tx1"/>
                  </w14:solidFill>
                </w14:textFill>
              </w:rPr>
              <w:t>工期</w:t>
            </w:r>
            <w:r>
              <w:rPr>
                <w:rFonts w:hint="eastAsia" w:ascii="宋体" w:hAnsi="宋体"/>
                <w:b/>
                <w:bCs/>
                <w:color w:val="000000" w:themeColor="text1"/>
                <w:sz w:val="24"/>
                <w:szCs w:val="24"/>
                <w14:textFill>
                  <w14:solidFill>
                    <w14:schemeClr w14:val="tx1"/>
                  </w14:solidFill>
                </w14:textFill>
              </w:rPr>
              <w:t>：</w:t>
            </w:r>
            <w:r>
              <w:rPr>
                <w:rFonts w:ascii="宋体" w:hAnsi="宋体"/>
                <w:b/>
                <w:bCs/>
                <w:color w:val="000000" w:themeColor="text1"/>
                <w:sz w:val="24"/>
                <w:szCs w:val="24"/>
                <w14:textFill>
                  <w14:solidFill>
                    <w14:schemeClr w14:val="tx1"/>
                  </w14:solidFill>
                </w14:textFill>
              </w:rPr>
              <w:t xml:space="preserve"> </w:t>
            </w:r>
          </w:p>
        </w:tc>
      </w:tr>
    </w:tbl>
    <w:p>
      <w:pPr>
        <w:spacing w:line="500" w:lineRule="exact"/>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填写说明：</w:t>
      </w:r>
    </w:p>
    <w:p>
      <w:pPr>
        <w:numPr>
          <w:ilvl w:val="0"/>
          <w:numId w:val="5"/>
        </w:numPr>
        <w:spacing w:line="500" w:lineRule="exact"/>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开标一览表不得填报选择性报价，否则将作为无效投标；</w:t>
      </w:r>
    </w:p>
    <w:p>
      <w:pPr>
        <w:numPr>
          <w:ilvl w:val="0"/>
          <w:numId w:val="5"/>
        </w:numPr>
        <w:spacing w:line="500" w:lineRule="exact"/>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开标一览表中报价与投标报价清单中不符时，以开标一览表为准；</w:t>
      </w:r>
    </w:p>
    <w:p>
      <w:pPr>
        <w:spacing w:line="500" w:lineRule="exact"/>
        <w:ind w:firstLine="1440" w:firstLineChars="600"/>
        <w:rPr>
          <w:rFonts w:ascii="宋体"/>
          <w:color w:val="000000" w:themeColor="text1"/>
          <w:sz w:val="24"/>
          <w:szCs w:val="24"/>
          <w14:textFill>
            <w14:solidFill>
              <w14:schemeClr w14:val="tx1"/>
            </w14:solidFill>
          </w14:textFill>
        </w:rPr>
      </w:pPr>
    </w:p>
    <w:p>
      <w:pPr>
        <w:spacing w:line="500" w:lineRule="exact"/>
        <w:rPr>
          <w:rFonts w:ascii="宋体"/>
          <w:color w:val="000000" w:themeColor="text1"/>
          <w:sz w:val="24"/>
          <w:szCs w:val="24"/>
          <w14:textFill>
            <w14:solidFill>
              <w14:schemeClr w14:val="tx1"/>
            </w14:solidFill>
          </w14:textFill>
        </w:rPr>
      </w:pPr>
    </w:p>
    <w:p>
      <w:pPr>
        <w:spacing w:line="500" w:lineRule="exact"/>
        <w:rPr>
          <w:rFonts w:ascii="宋体"/>
          <w:color w:val="000000" w:themeColor="text1"/>
          <w:sz w:val="24"/>
          <w:szCs w:val="24"/>
          <w14:textFill>
            <w14:solidFill>
              <w14:schemeClr w14:val="tx1"/>
            </w14:solidFill>
          </w14:textFill>
        </w:rPr>
      </w:pPr>
    </w:p>
    <w:p>
      <w:pPr>
        <w:pStyle w:val="17"/>
        <w:spacing w:line="480" w:lineRule="auto"/>
        <w:ind w:firstLine="4336" w:firstLineChars="1807"/>
        <w:rPr>
          <w:rFonts w:ascii="新宋体" w:hAnsi="新宋体" w:eastAsia="新宋体"/>
          <w:sz w:val="24"/>
          <w:szCs w:val="24"/>
          <w:u w:val="single"/>
        </w:rPr>
      </w:pPr>
      <w:r>
        <w:rPr>
          <w:rFonts w:hint="eastAsia" w:ascii="新宋体" w:hAnsi="新宋体" w:eastAsia="新宋体"/>
          <w:sz w:val="24"/>
          <w:szCs w:val="24"/>
        </w:rPr>
        <w:t>投标人（盖章）：</w:t>
      </w:r>
    </w:p>
    <w:p>
      <w:pPr>
        <w:pStyle w:val="17"/>
        <w:spacing w:line="480" w:lineRule="auto"/>
        <w:ind w:firstLine="4320" w:firstLineChars="1800"/>
        <w:rPr>
          <w:rFonts w:ascii="新宋体" w:hAnsi="新宋体" w:eastAsia="新宋体"/>
          <w:sz w:val="24"/>
          <w:szCs w:val="24"/>
          <w:u w:val="single"/>
        </w:rPr>
      </w:pPr>
      <w:r>
        <w:rPr>
          <w:rFonts w:hint="eastAsia" w:ascii="新宋体" w:hAnsi="新宋体" w:eastAsia="新宋体"/>
          <w:sz w:val="24"/>
          <w:szCs w:val="24"/>
        </w:rPr>
        <w:t>法定代表人或授权代表（签字或盖章）：</w:t>
      </w:r>
    </w:p>
    <w:p>
      <w:pPr>
        <w:pStyle w:val="17"/>
        <w:spacing w:line="480" w:lineRule="auto"/>
        <w:rPr>
          <w:rFonts w:ascii="新宋体" w:hAnsi="新宋体" w:eastAsia="新宋体"/>
          <w:sz w:val="24"/>
          <w:szCs w:val="24"/>
        </w:rPr>
      </w:pPr>
      <w:r>
        <w:rPr>
          <w:rFonts w:hint="eastAsia" w:ascii="新宋体" w:hAnsi="新宋体" w:eastAsia="新宋体"/>
          <w:sz w:val="24"/>
          <w:szCs w:val="24"/>
        </w:rPr>
        <w:t xml:space="preserve">                               日期：  年  月  日</w:t>
      </w:r>
    </w:p>
    <w:p>
      <w:pPr>
        <w:pStyle w:val="5"/>
        <w:spacing w:line="500" w:lineRule="exact"/>
        <w:ind w:firstLine="0"/>
        <w:jc w:val="center"/>
        <w:rPr>
          <w:rFonts w:ascii="宋体"/>
          <w:color w:val="000000" w:themeColor="text1"/>
          <w:sz w:val="24"/>
          <w:szCs w:val="24"/>
          <w14:textFill>
            <w14:solidFill>
              <w14:schemeClr w14:val="tx1"/>
            </w14:solidFill>
          </w14:textFill>
        </w:rPr>
      </w:pPr>
      <w:r>
        <w:rPr>
          <w:rFonts w:ascii="宋体"/>
          <w:b/>
          <w:color w:val="000000" w:themeColor="text1"/>
          <w:sz w:val="24"/>
          <w:szCs w:val="24"/>
          <w14:textFill>
            <w14:solidFill>
              <w14:schemeClr w14:val="tx1"/>
            </w14:solidFill>
          </w14:textFill>
        </w:rPr>
        <w:br w:type="page"/>
      </w:r>
      <w:r>
        <w:rPr>
          <w:rFonts w:hint="eastAsia" w:ascii="宋体" w:hAnsi="宋体"/>
          <w:b/>
          <w:color w:val="000000" w:themeColor="text1"/>
          <w:sz w:val="36"/>
          <w:szCs w:val="36"/>
          <w14:textFill>
            <w14:solidFill>
              <w14:schemeClr w14:val="tx1"/>
            </w14:solidFill>
          </w14:textFill>
        </w:rPr>
        <w:t>五、报价清单</w:t>
      </w:r>
    </w:p>
    <w:p>
      <w:pPr>
        <w:spacing w:line="500" w:lineRule="exact"/>
        <w:ind w:firstLine="120" w:firstLineChars="50"/>
        <w:jc w:val="left"/>
        <w:rPr>
          <w:rFonts w:hint="eastAsia"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287655</wp:posOffset>
                </wp:positionV>
                <wp:extent cx="1714500" cy="0"/>
                <wp:effectExtent l="0" t="0" r="0" b="0"/>
                <wp:wrapNone/>
                <wp:docPr id="1" name="自选图形 2"/>
                <wp:cNvGraphicFramePr/>
                <a:graphic xmlns:a="http://schemas.openxmlformats.org/drawingml/2006/main">
                  <a:graphicData uri="http://schemas.microsoft.com/office/word/2010/wordprocessingShape">
                    <wps:wsp>
                      <wps:cNvCnPr/>
                      <wps:spPr>
                        <a:xfrm>
                          <a:off x="0" y="0"/>
                          <a:ext cx="1714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68.25pt;margin-top:22.65pt;height:0pt;width:135pt;z-index:251660288;mso-width-relative:page;mso-height-relative:page;" filled="f" stroked="t" coordsize="21600,21600" o:gfxdata="UEsDBAoAAAAAAIdO4kAAAAAAAAAAAAAAAAAEAAAAZHJzL1BLAwQUAAAACACHTuJApg3XhdYAAAAJ&#10;AQAADwAAAGRycy9kb3ducmV2LnhtbE2PwW7CMBBE75X6D9Yi9VIVO0BQm8ZBVaUeeiwgcTXxNkmJ&#10;11HsEMrXd1EPcJzZp9mZfHVyrThiHxpPGpKpAoFUettQpWG7+Xh6BhGiIWtaT6jhFwOsivu73GTW&#10;j/SFx3WsBIdQyIyGOsYukzKUNToTpr5D4tu3752JLPtK2t6MHO5aOVNqKZ1piD/UpsP3GsvDenAa&#10;MAxpot5eXLX9PI+Pu9n5Z+w2Wj9MEvUKIuIpXmG41OfqUHCnvR/IBtGyni9TRjUs0jkIBhbqYuz/&#10;DVnk8nZB8QdQSwMEFAAAAAgAh07iQP+7r6H0AQAA4wMAAA4AAABkcnMvZTJvRG9jLnhtbK1TS44T&#10;MRDdI3EHy3vSSUT4tNKZRcKwQTAScICK7e625J9cnnSyY4c4AzuW3AFuM9JwC8ruTAaGTRb0wl12&#10;Vb2q91xeXuytYTsVUXvX8NlkyplywkvtuoZ//HD55AVnmMBJMN6phh8U8ovV40fLIdRq7ntvpIqM&#10;QBzWQ2h4n1KoqwpFryzgxAflyNn6aCHRNnaVjDAQujXVfDp9Vg0+yhC9UIh0uhmd/IgYzwH0bauF&#10;2nhxbZVLI2pUBhJRwl4H5KvSbdsqkd61LarETMOJaSorFSF7m9dqtYS6ixB6LY4twDktPOBkQTsq&#10;eoLaQAJ2HfU/UFaL6NG3aSK8rUYiRRFiMZs+0OZ9D0EVLiQ1hpPo+P9gxdvdVWRa0iRw5sDShd9+&#10;/v7r05ebrz9vfnxj86zQELCmwLW7iscdhquY6e7baPOfiLB9UfVwUlXtExN0OHs+e7qYkuDizlfd&#10;J4aI6bXylmWj4Zgi6K5Pa+8c3Z2Ps6Iq7N5gotKUeJeQqxrHhoa/XMwXBA40iy3NAJk2EB90XclF&#10;b7S81MbkDIzddm0i20Geh/JlgoT7V1gusgHsx7jiGielVyBfOcnSIZBSjh4Izy1YJTkzit5TtggQ&#10;6gTanBNJpY2jDrLGo6rZ2np5KGKXc7r70uNxTvNw/bkv2fdv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g3XhdYAAAAJAQAADwAAAAAAAAABACAAAAAiAAAAZHJzL2Rvd25yZXYueG1sUEsBAhQA&#10;FAAAAAgAh07iQP+7r6H0AQAA4wMAAA4AAAAAAAAAAQAgAAAAJQEAAGRycy9lMm9Eb2MueG1sUEsF&#10;BgAAAAAGAAYAWQEAAIsFAAAAAA==&#10;">
                <v:fill on="f" focussize="0,0"/>
                <v:stroke color="#000000" joinstyle="round"/>
                <v:imagedata o:title=""/>
                <o:lock v:ext="edit" aspectratio="f"/>
              </v:shape>
            </w:pict>
          </mc:Fallback>
        </mc:AlternateContent>
      </w:r>
      <w:r>
        <w:rPr>
          <w:rFonts w:hint="eastAsia" w:ascii="宋体" w:hAnsi="宋体"/>
          <w:color w:val="000000" w:themeColor="text1"/>
          <w:sz w:val="24"/>
          <w:szCs w:val="24"/>
          <w14:textFill>
            <w14:solidFill>
              <w14:schemeClr w14:val="tx1"/>
            </w14:solidFill>
          </w14:textFill>
        </w:rPr>
        <w:t>投标人全称：                     （加盖公章）</w:t>
      </w:r>
    </w:p>
    <w:tbl>
      <w:tblPr>
        <w:tblStyle w:val="34"/>
        <w:tblW w:w="9184"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1244"/>
        <w:gridCol w:w="1244"/>
        <w:gridCol w:w="1244"/>
        <w:gridCol w:w="1244"/>
        <w:gridCol w:w="1244"/>
        <w:gridCol w:w="124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技术参数</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单价（元）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合价（元）</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投标品牌/产地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财源滚滚</w:t>
            </w:r>
          </w:p>
        </w:tc>
        <w:tc>
          <w:tcPr>
            <w:tcW w:w="124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完全响应采购需求的</w:t>
            </w:r>
            <w:r>
              <w:rPr>
                <w:rFonts w:hint="eastAsia" w:ascii="宋体" w:hAnsi="宋体" w:eastAsia="宋体" w:cs="宋体"/>
                <w:i w:val="0"/>
                <w:iCs w:val="0"/>
                <w:color w:val="000000"/>
                <w:kern w:val="0"/>
                <w:sz w:val="22"/>
                <w:szCs w:val="22"/>
                <w:u w:val="none"/>
                <w:lang w:val="en-US" w:eastAsia="zh-CN" w:bidi="ar"/>
              </w:rPr>
              <w:t>所有条款</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喷泉主管道</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喷泉供水管道</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喷泉均水管道</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喷泉单丝支管</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喷泉双丝支管</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弯头</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调压阀</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泄水阀</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止回阀</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喷泉专用泵</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喷泉专用泵</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水泵网罩</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水下彩灯</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盏</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水下彩灯底座</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中空彩灯</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盏</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彩灯水下电缆</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水泵水下电缆</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控制柜</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彩灯低压变压器</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管道法兰</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水泵法兰</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水泵接头</w:t>
            </w:r>
          </w:p>
        </w:tc>
        <w:tc>
          <w:tcPr>
            <w:tcW w:w="1244"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防水绝缘胶带</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辅助材料</w:t>
            </w:r>
          </w:p>
        </w:tc>
        <w:tc>
          <w:tcPr>
            <w:tcW w:w="124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项</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喷泉电源电缆含桥架</w:t>
            </w:r>
          </w:p>
        </w:tc>
        <w:tc>
          <w:tcPr>
            <w:tcW w:w="124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74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人民币（大写）</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b/>
                <w:color w:val="000000" w:themeColor="text1"/>
                <w:sz w:val="24"/>
                <w:szCs w:val="24"/>
                <w14:textFill>
                  <w14:solidFill>
                    <w14:schemeClr w14:val="tx1"/>
                  </w14:solidFill>
                </w14:textFill>
              </w:rPr>
              <w:t>元整</w:t>
            </w:r>
            <w:r>
              <w:rPr>
                <w:rFonts w:hint="eastAsia" w:ascii="新宋体" w:hAnsi="新宋体" w:eastAsia="新宋体"/>
                <w:b/>
                <w:sz w:val="24"/>
              </w:rPr>
              <w:t>（￥</w:t>
            </w:r>
            <w:r>
              <w:rPr>
                <w:rFonts w:hint="eastAsia" w:ascii="新宋体" w:hAnsi="新宋体" w:eastAsia="新宋体"/>
                <w:b/>
                <w:sz w:val="24"/>
                <w:u w:val="single"/>
              </w:rPr>
              <w:t xml:space="preserve">     </w:t>
            </w:r>
            <w:r>
              <w:rPr>
                <w:rFonts w:hint="eastAsia" w:ascii="新宋体" w:hAnsi="新宋体" w:eastAsia="新宋体"/>
                <w:b/>
                <w:sz w:val="24"/>
              </w:rPr>
              <w:t>元）</w:t>
            </w:r>
          </w:p>
        </w:tc>
      </w:tr>
    </w:tbl>
    <w:p>
      <w:pPr>
        <w:pStyle w:val="32"/>
        <w:rPr>
          <w:rFonts w:hint="eastAsia" w:ascii="宋体" w:hAnsi="宋体"/>
          <w:color w:val="000000" w:themeColor="text1"/>
          <w:sz w:val="24"/>
          <w:szCs w:val="24"/>
          <w14:textFill>
            <w14:solidFill>
              <w14:schemeClr w14:val="tx1"/>
            </w14:solidFill>
          </w14:textFill>
        </w:rPr>
      </w:pPr>
    </w:p>
    <w:bookmarkEnd w:id="140"/>
    <w:bookmarkEnd w:id="141"/>
    <w:bookmarkEnd w:id="145"/>
    <w:p>
      <w:pPr>
        <w:spacing w:line="480" w:lineRule="exact"/>
        <w:ind w:firstLine="480" w:firstLineChars="200"/>
        <w:rPr>
          <w:rFonts w:ascii="宋体"/>
          <w:bCs/>
          <w:color w:val="000000" w:themeColor="text1"/>
          <w:sz w:val="24"/>
          <w:szCs w:val="24"/>
          <w14:textFill>
            <w14:solidFill>
              <w14:schemeClr w14:val="tx1"/>
            </w14:solidFill>
          </w14:textFill>
        </w:rPr>
      </w:pPr>
      <w:r>
        <w:rPr>
          <w:rFonts w:hint="eastAsia" w:ascii="宋体" w:hAnsi="宋体"/>
          <w:sz w:val="24"/>
          <w:szCs w:val="24"/>
        </w:rPr>
        <w:t>注：1、报价采用总承包方式，</w:t>
      </w:r>
      <w:r>
        <w:rPr>
          <w:rFonts w:hint="eastAsia" w:ascii="宋体" w:hAnsi="宋体"/>
          <w:sz w:val="24"/>
          <w:szCs w:val="24"/>
          <w:lang w:val="en-US" w:eastAsia="zh-CN"/>
        </w:rPr>
        <w:t>投标报价包括为完成本项目</w:t>
      </w:r>
      <w:r>
        <w:rPr>
          <w:rFonts w:hint="eastAsia"/>
          <w:sz w:val="24"/>
        </w:rPr>
        <w:t>的</w:t>
      </w:r>
      <w:r>
        <w:rPr>
          <w:rFonts w:hint="eastAsia"/>
          <w:sz w:val="24"/>
          <w:lang w:val="en-US" w:eastAsia="zh-CN"/>
        </w:rPr>
        <w:t>材料费、运输费</w:t>
      </w:r>
      <w:r>
        <w:rPr>
          <w:rFonts w:hint="eastAsia"/>
          <w:sz w:val="24"/>
        </w:rPr>
        <w:t>、</w:t>
      </w:r>
      <w:r>
        <w:rPr>
          <w:rFonts w:hint="eastAsia"/>
          <w:sz w:val="24"/>
          <w:lang w:val="en-US" w:eastAsia="zh-CN"/>
        </w:rPr>
        <w:t>人工费、</w:t>
      </w:r>
      <w:r>
        <w:rPr>
          <w:rFonts w:hint="eastAsia"/>
          <w:sz w:val="24"/>
        </w:rPr>
        <w:t>利润、税金、措施费、</w:t>
      </w:r>
      <w:r>
        <w:rPr>
          <w:rFonts w:hint="eastAsia"/>
          <w:sz w:val="24"/>
          <w:lang w:val="en-US" w:eastAsia="zh-CN"/>
        </w:rPr>
        <w:t>管理费、培训费、</w:t>
      </w:r>
      <w:r>
        <w:rPr>
          <w:rFonts w:hint="eastAsia"/>
          <w:sz w:val="24"/>
        </w:rPr>
        <w:t>大型机械进出场费、风险费、政策性文件规定</w:t>
      </w:r>
      <w:r>
        <w:rPr>
          <w:rFonts w:hint="eastAsia"/>
          <w:sz w:val="24"/>
          <w:lang w:eastAsia="zh-CN"/>
        </w:rPr>
        <w:t>的</w:t>
      </w:r>
      <w:r>
        <w:rPr>
          <w:rFonts w:hint="eastAsia"/>
          <w:sz w:val="24"/>
        </w:rPr>
        <w:t>费用等所有费用</w:t>
      </w:r>
      <w:r>
        <w:rPr>
          <w:rFonts w:hint="eastAsia"/>
          <w:sz w:val="24"/>
          <w:lang w:eastAsia="zh-CN"/>
        </w:rPr>
        <w:t>。</w:t>
      </w:r>
    </w:p>
    <w:p>
      <w:pPr>
        <w:spacing w:line="500" w:lineRule="exact"/>
        <w:ind w:firstLine="720" w:firstLineChars="300"/>
        <w:rPr>
          <w:rFonts w:ascii="宋体" w:hAnsi="宋体"/>
          <w:color w:val="000000"/>
          <w:sz w:val="24"/>
          <w:szCs w:val="24"/>
        </w:rPr>
      </w:pPr>
      <w:r>
        <w:rPr>
          <w:rFonts w:hint="eastAsia" w:ascii="宋体" w:hAnsi="宋体"/>
          <w:color w:val="000000"/>
          <w:sz w:val="24"/>
          <w:szCs w:val="24"/>
        </w:rPr>
        <w:t>2、投标报价不得高于预算价。</w:t>
      </w:r>
    </w:p>
    <w:p/>
    <w:sectPr>
      <w:footerReference r:id="rId7" w:type="first"/>
      <w:footerReference r:id="rId5" w:type="default"/>
      <w:footerReference r:id="rId6" w:type="even"/>
      <w:pgSz w:w="11906" w:h="16838"/>
      <w:pgMar w:top="1418" w:right="1588" w:bottom="1418" w:left="1365" w:header="851" w:footer="907" w:gutter="0"/>
      <w:pgNumType w:fmt="decimal"/>
      <w:cols w:space="425"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PAGE   \* MERGEFORMAT</w:instrText>
    </w:r>
    <w:r>
      <w:fldChar w:fldCharType="separate"/>
    </w:r>
    <w:r>
      <w:rPr>
        <w:lang w:val="zh-CN"/>
      </w:rPr>
      <w:t>-</w:t>
    </w:r>
    <w:r>
      <w:t xml:space="preserve"> 24 -</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jc w:val="center"/>
                          </w:pPr>
                          <w:r>
                            <w:fldChar w:fldCharType="begin"/>
                          </w:r>
                          <w:r>
                            <w:instrText xml:space="preserve">PAGE   \* MERGEFORMAT</w:instrText>
                          </w:r>
                          <w:r>
                            <w:fldChar w:fldCharType="separate"/>
                          </w:r>
                          <w:r>
                            <w:rPr>
                              <w:lang w:val="zh-CN"/>
                            </w:rPr>
                            <w:t>-</w:t>
                          </w:r>
                          <w:r>
                            <w:t xml:space="preserve">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4"/>
                      <w:jc w:val="center"/>
                    </w:pPr>
                    <w:r>
                      <w:fldChar w:fldCharType="begin"/>
                    </w:r>
                    <w:r>
                      <w:instrText xml:space="preserve">PAGE   \* MERGEFORMAT</w:instrText>
                    </w:r>
                    <w:r>
                      <w:fldChar w:fldCharType="separate"/>
                    </w:r>
                    <w:r>
                      <w:rPr>
                        <w:lang w:val="zh-CN"/>
                      </w:rPr>
                      <w:t>-</w:t>
                    </w:r>
                    <w:r>
                      <w:t xml:space="preserve"> 24 -</w:t>
                    </w:r>
                    <w:r>
                      <w:fldChar w:fldCharType="end"/>
                    </w:r>
                  </w:p>
                </w:txbxContent>
              </v:textbox>
            </v:shape>
          </w:pict>
        </mc:Fallback>
      </mc:AlternateContent>
    </w:r>
  </w:p>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8"/>
      </w:rPr>
    </w:pPr>
    <w:r>
      <w:rPr>
        <w:rStyle w:val="38"/>
      </w:rPr>
      <w:fldChar w:fldCharType="begin"/>
    </w:r>
    <w:r>
      <w:rPr>
        <w:rStyle w:val="38"/>
      </w:rPr>
      <w:instrText xml:space="preserve">PAGE  </w:instrText>
    </w:r>
    <w:r>
      <w:rPr>
        <w:rStyle w:val="38"/>
      </w:rPr>
      <w:fldChar w:fldCharType="separate"/>
    </w:r>
    <w:r>
      <w:rPr>
        <w:rStyle w:val="38"/>
      </w:rPr>
      <w:t>1</w:t>
    </w:r>
    <w:r>
      <w:rPr>
        <w:rStyle w:val="38"/>
      </w:rPr>
      <w:fldChar w:fldCharType="end"/>
    </w:r>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5C74A"/>
    <w:multiLevelType w:val="singleLevel"/>
    <w:tmpl w:val="9775C74A"/>
    <w:lvl w:ilvl="0" w:tentative="0">
      <w:start w:val="2"/>
      <w:numFmt w:val="decimal"/>
      <w:lvlText w:val="%1."/>
      <w:lvlJc w:val="left"/>
      <w:pPr>
        <w:tabs>
          <w:tab w:val="left" w:pos="312"/>
        </w:tabs>
      </w:pPr>
    </w:lvl>
  </w:abstractNum>
  <w:abstractNum w:abstractNumId="1">
    <w:nsid w:val="E1B8DD1A"/>
    <w:multiLevelType w:val="singleLevel"/>
    <w:tmpl w:val="E1B8DD1A"/>
    <w:lvl w:ilvl="0" w:tentative="0">
      <w:start w:val="4"/>
      <w:numFmt w:val="chineseCounting"/>
      <w:suff w:val="space"/>
      <w:lvlText w:val="第%1章"/>
      <w:lvlJc w:val="left"/>
      <w:rPr>
        <w:rFonts w:hint="eastAsia"/>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abstractNum w:abstractNumId="3">
    <w:nsid w:val="2A30A55E"/>
    <w:multiLevelType w:val="singleLevel"/>
    <w:tmpl w:val="2A30A55E"/>
    <w:lvl w:ilvl="0" w:tentative="0">
      <w:start w:val="7"/>
      <w:numFmt w:val="chineseCounting"/>
      <w:suff w:val="nothing"/>
      <w:lvlText w:val="%1、"/>
      <w:lvlJc w:val="left"/>
      <w:rPr>
        <w:rFonts w:hint="eastAsia"/>
      </w:rPr>
    </w:lvl>
  </w:abstractNum>
  <w:abstractNum w:abstractNumId="4">
    <w:nsid w:val="5C7E0EE5"/>
    <w:multiLevelType w:val="multilevel"/>
    <w:tmpl w:val="5C7E0EE5"/>
    <w:lvl w:ilvl="0" w:tentative="0">
      <w:start w:val="1"/>
      <w:numFmt w:val="chineseCountingThousand"/>
      <w:suff w:val="nothing"/>
      <w:lvlText w:val="第%1章 "/>
      <w:lvlJc w:val="left"/>
      <w:rPr>
        <w:rFonts w:hint="eastAsia" w:cs="Times New Roman"/>
      </w:rPr>
    </w:lvl>
    <w:lvl w:ilvl="1" w:tentative="0">
      <w:start w:val="1"/>
      <w:numFmt w:val="decimal"/>
      <w:suff w:val="nothing"/>
      <w:lvlText w:val="%2、"/>
      <w:lvlJc w:val="left"/>
      <w:rPr>
        <w:rFonts w:hint="eastAsia" w:cs="Times New Roman"/>
      </w:rPr>
    </w:lvl>
    <w:lvl w:ilvl="2" w:tentative="0">
      <w:start w:val="1"/>
      <w:numFmt w:val="decimal"/>
      <w:suff w:val="nothing"/>
      <w:lvlText w:val="%2.%3 "/>
      <w:lvlJc w:val="left"/>
      <w:rPr>
        <w:rFonts w:hint="eastAsia" w:cs="Times New Roman"/>
      </w:rPr>
    </w:lvl>
    <w:lvl w:ilvl="3" w:tentative="0">
      <w:start w:val="1"/>
      <w:numFmt w:val="decimal"/>
      <w:suff w:val="nothing"/>
      <w:lvlText w:val="%2.%3.%4 "/>
      <w:lvlJc w:val="left"/>
      <w:rPr>
        <w:rFonts w:hint="eastAsia" w:cs="Times New Roman"/>
      </w:rPr>
    </w:lvl>
    <w:lvl w:ilvl="4" w:tentative="0">
      <w:start w:val="1"/>
      <w:numFmt w:val="decimal"/>
      <w:suff w:val="nothing"/>
      <w:lvlText w:val="%2.%3.%4.%5 "/>
      <w:lvlJc w:val="left"/>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C3"/>
    <w:rsid w:val="00014898"/>
    <w:rsid w:val="0002101B"/>
    <w:rsid w:val="00022E96"/>
    <w:rsid w:val="000260AC"/>
    <w:rsid w:val="000328B9"/>
    <w:rsid w:val="00034F55"/>
    <w:rsid w:val="00042FDF"/>
    <w:rsid w:val="000433E8"/>
    <w:rsid w:val="00044E0A"/>
    <w:rsid w:val="0004545D"/>
    <w:rsid w:val="0005110F"/>
    <w:rsid w:val="00053743"/>
    <w:rsid w:val="0005641C"/>
    <w:rsid w:val="000568D2"/>
    <w:rsid w:val="00063CD7"/>
    <w:rsid w:val="0008553B"/>
    <w:rsid w:val="00087D36"/>
    <w:rsid w:val="00093038"/>
    <w:rsid w:val="000A7FF9"/>
    <w:rsid w:val="000B1961"/>
    <w:rsid w:val="000B60C0"/>
    <w:rsid w:val="000C08D7"/>
    <w:rsid w:val="000D2AE0"/>
    <w:rsid w:val="000D5EF5"/>
    <w:rsid w:val="000E037C"/>
    <w:rsid w:val="000E5FF0"/>
    <w:rsid w:val="000F77C4"/>
    <w:rsid w:val="000F7927"/>
    <w:rsid w:val="00100527"/>
    <w:rsid w:val="00105F07"/>
    <w:rsid w:val="00111F87"/>
    <w:rsid w:val="0011312C"/>
    <w:rsid w:val="00113133"/>
    <w:rsid w:val="001164A2"/>
    <w:rsid w:val="00116777"/>
    <w:rsid w:val="00122B1D"/>
    <w:rsid w:val="0012312C"/>
    <w:rsid w:val="00126717"/>
    <w:rsid w:val="001314E2"/>
    <w:rsid w:val="00135D3B"/>
    <w:rsid w:val="001373DC"/>
    <w:rsid w:val="0014040A"/>
    <w:rsid w:val="00143B57"/>
    <w:rsid w:val="00145FA2"/>
    <w:rsid w:val="00150410"/>
    <w:rsid w:val="00150890"/>
    <w:rsid w:val="00151728"/>
    <w:rsid w:val="00157962"/>
    <w:rsid w:val="001602FA"/>
    <w:rsid w:val="00167070"/>
    <w:rsid w:val="00167D5D"/>
    <w:rsid w:val="00172496"/>
    <w:rsid w:val="00172CAE"/>
    <w:rsid w:val="00173262"/>
    <w:rsid w:val="00173636"/>
    <w:rsid w:val="00173788"/>
    <w:rsid w:val="001754A7"/>
    <w:rsid w:val="001769A0"/>
    <w:rsid w:val="001807F6"/>
    <w:rsid w:val="001833B7"/>
    <w:rsid w:val="00184235"/>
    <w:rsid w:val="00184A7C"/>
    <w:rsid w:val="00191014"/>
    <w:rsid w:val="00192E7E"/>
    <w:rsid w:val="001A2103"/>
    <w:rsid w:val="001A4EB2"/>
    <w:rsid w:val="001A56D2"/>
    <w:rsid w:val="001B408D"/>
    <w:rsid w:val="001C3E07"/>
    <w:rsid w:val="001C4ED1"/>
    <w:rsid w:val="001C4FB1"/>
    <w:rsid w:val="001C5A6B"/>
    <w:rsid w:val="001C7611"/>
    <w:rsid w:val="001D53D7"/>
    <w:rsid w:val="001D68C7"/>
    <w:rsid w:val="001E4DB5"/>
    <w:rsid w:val="001E542D"/>
    <w:rsid w:val="001F09DB"/>
    <w:rsid w:val="001F0C7F"/>
    <w:rsid w:val="00201655"/>
    <w:rsid w:val="00202013"/>
    <w:rsid w:val="002031EF"/>
    <w:rsid w:val="00205A05"/>
    <w:rsid w:val="00210BAC"/>
    <w:rsid w:val="0021140E"/>
    <w:rsid w:val="00215DC1"/>
    <w:rsid w:val="002161B8"/>
    <w:rsid w:val="00221965"/>
    <w:rsid w:val="00221A59"/>
    <w:rsid w:val="00230E24"/>
    <w:rsid w:val="0023210C"/>
    <w:rsid w:val="002330E3"/>
    <w:rsid w:val="00233FCD"/>
    <w:rsid w:val="0023584D"/>
    <w:rsid w:val="00243D1D"/>
    <w:rsid w:val="0024413C"/>
    <w:rsid w:val="00244EEA"/>
    <w:rsid w:val="002538D2"/>
    <w:rsid w:val="00253B60"/>
    <w:rsid w:val="00261CE2"/>
    <w:rsid w:val="00261F8C"/>
    <w:rsid w:val="0027299E"/>
    <w:rsid w:val="00274F8F"/>
    <w:rsid w:val="00281BB0"/>
    <w:rsid w:val="0028239B"/>
    <w:rsid w:val="002850E1"/>
    <w:rsid w:val="00286F95"/>
    <w:rsid w:val="0028786E"/>
    <w:rsid w:val="00287879"/>
    <w:rsid w:val="002933D1"/>
    <w:rsid w:val="00297EC6"/>
    <w:rsid w:val="002A0AAC"/>
    <w:rsid w:val="002A366F"/>
    <w:rsid w:val="002B3EE3"/>
    <w:rsid w:val="002B417B"/>
    <w:rsid w:val="002B429F"/>
    <w:rsid w:val="002C3F38"/>
    <w:rsid w:val="002C69C3"/>
    <w:rsid w:val="002C6E21"/>
    <w:rsid w:val="002D3450"/>
    <w:rsid w:val="002D6983"/>
    <w:rsid w:val="002E41E3"/>
    <w:rsid w:val="002E5044"/>
    <w:rsid w:val="002E5C66"/>
    <w:rsid w:val="002F38FA"/>
    <w:rsid w:val="002F47C7"/>
    <w:rsid w:val="002F7361"/>
    <w:rsid w:val="00300649"/>
    <w:rsid w:val="00303CA3"/>
    <w:rsid w:val="00303E72"/>
    <w:rsid w:val="00316663"/>
    <w:rsid w:val="003340F5"/>
    <w:rsid w:val="00341CFD"/>
    <w:rsid w:val="003454E9"/>
    <w:rsid w:val="003509F7"/>
    <w:rsid w:val="00350EA5"/>
    <w:rsid w:val="00353FD2"/>
    <w:rsid w:val="0035538B"/>
    <w:rsid w:val="0036297C"/>
    <w:rsid w:val="003635FE"/>
    <w:rsid w:val="00363F9E"/>
    <w:rsid w:val="0037064A"/>
    <w:rsid w:val="00375EA8"/>
    <w:rsid w:val="00376312"/>
    <w:rsid w:val="00376C73"/>
    <w:rsid w:val="00377F65"/>
    <w:rsid w:val="00377FB5"/>
    <w:rsid w:val="00383185"/>
    <w:rsid w:val="00383F7F"/>
    <w:rsid w:val="0038499F"/>
    <w:rsid w:val="00391B7C"/>
    <w:rsid w:val="003934B9"/>
    <w:rsid w:val="003943DD"/>
    <w:rsid w:val="00395176"/>
    <w:rsid w:val="003A3DA8"/>
    <w:rsid w:val="003A5717"/>
    <w:rsid w:val="003A5972"/>
    <w:rsid w:val="003B0F32"/>
    <w:rsid w:val="003B1659"/>
    <w:rsid w:val="003B270B"/>
    <w:rsid w:val="003B381C"/>
    <w:rsid w:val="003B636B"/>
    <w:rsid w:val="003C0145"/>
    <w:rsid w:val="003C11D1"/>
    <w:rsid w:val="003C47D5"/>
    <w:rsid w:val="003D0584"/>
    <w:rsid w:val="003D4372"/>
    <w:rsid w:val="003D4A9A"/>
    <w:rsid w:val="003D4FAB"/>
    <w:rsid w:val="003D7432"/>
    <w:rsid w:val="003D7C9A"/>
    <w:rsid w:val="003F2998"/>
    <w:rsid w:val="003F32E1"/>
    <w:rsid w:val="003F3E4A"/>
    <w:rsid w:val="003F6C64"/>
    <w:rsid w:val="0040090B"/>
    <w:rsid w:val="00403410"/>
    <w:rsid w:val="004150B3"/>
    <w:rsid w:val="0042363A"/>
    <w:rsid w:val="00426FA2"/>
    <w:rsid w:val="004308CE"/>
    <w:rsid w:val="004315A7"/>
    <w:rsid w:val="004351DE"/>
    <w:rsid w:val="004374DE"/>
    <w:rsid w:val="004420BC"/>
    <w:rsid w:val="00443946"/>
    <w:rsid w:val="004478A1"/>
    <w:rsid w:val="0045170E"/>
    <w:rsid w:val="00454E2B"/>
    <w:rsid w:val="00456BD4"/>
    <w:rsid w:val="0046247E"/>
    <w:rsid w:val="00464741"/>
    <w:rsid w:val="00471356"/>
    <w:rsid w:val="00472B24"/>
    <w:rsid w:val="00473C60"/>
    <w:rsid w:val="00475726"/>
    <w:rsid w:val="00484A1B"/>
    <w:rsid w:val="00485B9C"/>
    <w:rsid w:val="00485CE1"/>
    <w:rsid w:val="004A06E6"/>
    <w:rsid w:val="004A21FF"/>
    <w:rsid w:val="004A26D9"/>
    <w:rsid w:val="004A53D1"/>
    <w:rsid w:val="004C1733"/>
    <w:rsid w:val="004C246A"/>
    <w:rsid w:val="004C2A19"/>
    <w:rsid w:val="004C3E60"/>
    <w:rsid w:val="004C4107"/>
    <w:rsid w:val="004D2EA0"/>
    <w:rsid w:val="004D3822"/>
    <w:rsid w:val="004D3BEE"/>
    <w:rsid w:val="004E33BB"/>
    <w:rsid w:val="004E3A95"/>
    <w:rsid w:val="004E4030"/>
    <w:rsid w:val="004F0ED7"/>
    <w:rsid w:val="004F72FB"/>
    <w:rsid w:val="00500D06"/>
    <w:rsid w:val="00501C61"/>
    <w:rsid w:val="005032F1"/>
    <w:rsid w:val="00504A02"/>
    <w:rsid w:val="00510B7D"/>
    <w:rsid w:val="005162B3"/>
    <w:rsid w:val="00521780"/>
    <w:rsid w:val="0052451D"/>
    <w:rsid w:val="005245A6"/>
    <w:rsid w:val="00525ABA"/>
    <w:rsid w:val="005300F4"/>
    <w:rsid w:val="00530366"/>
    <w:rsid w:val="005366B2"/>
    <w:rsid w:val="00540EB4"/>
    <w:rsid w:val="0054405C"/>
    <w:rsid w:val="00556FAA"/>
    <w:rsid w:val="005570DD"/>
    <w:rsid w:val="0056033B"/>
    <w:rsid w:val="0056503B"/>
    <w:rsid w:val="005702DC"/>
    <w:rsid w:val="00571182"/>
    <w:rsid w:val="00571DCE"/>
    <w:rsid w:val="00572FFE"/>
    <w:rsid w:val="00576C13"/>
    <w:rsid w:val="00583AD2"/>
    <w:rsid w:val="00592802"/>
    <w:rsid w:val="00592F86"/>
    <w:rsid w:val="00596087"/>
    <w:rsid w:val="005A52E5"/>
    <w:rsid w:val="005B426E"/>
    <w:rsid w:val="005B67E9"/>
    <w:rsid w:val="005C2680"/>
    <w:rsid w:val="005C463B"/>
    <w:rsid w:val="005C7784"/>
    <w:rsid w:val="005D6455"/>
    <w:rsid w:val="005E45B6"/>
    <w:rsid w:val="005F08CD"/>
    <w:rsid w:val="005F3452"/>
    <w:rsid w:val="005F41EC"/>
    <w:rsid w:val="005F4C5A"/>
    <w:rsid w:val="005F5069"/>
    <w:rsid w:val="005F7BB6"/>
    <w:rsid w:val="00602BC5"/>
    <w:rsid w:val="00602D89"/>
    <w:rsid w:val="006039CE"/>
    <w:rsid w:val="00607105"/>
    <w:rsid w:val="00610A69"/>
    <w:rsid w:val="00621C87"/>
    <w:rsid w:val="006245D1"/>
    <w:rsid w:val="00626691"/>
    <w:rsid w:val="0063046B"/>
    <w:rsid w:val="006317DD"/>
    <w:rsid w:val="00640822"/>
    <w:rsid w:val="00640E5A"/>
    <w:rsid w:val="00641A51"/>
    <w:rsid w:val="00650DFD"/>
    <w:rsid w:val="00654001"/>
    <w:rsid w:val="00670EEE"/>
    <w:rsid w:val="00673B05"/>
    <w:rsid w:val="006847A7"/>
    <w:rsid w:val="00687C15"/>
    <w:rsid w:val="00694760"/>
    <w:rsid w:val="00694F0C"/>
    <w:rsid w:val="00697C08"/>
    <w:rsid w:val="006A2A9F"/>
    <w:rsid w:val="006A30AF"/>
    <w:rsid w:val="006A45AB"/>
    <w:rsid w:val="006A4FB7"/>
    <w:rsid w:val="006A61FD"/>
    <w:rsid w:val="006B7954"/>
    <w:rsid w:val="006C4494"/>
    <w:rsid w:val="006C59C7"/>
    <w:rsid w:val="006C5BB6"/>
    <w:rsid w:val="006D5CF5"/>
    <w:rsid w:val="006D7FBA"/>
    <w:rsid w:val="006E171D"/>
    <w:rsid w:val="007128F9"/>
    <w:rsid w:val="00714244"/>
    <w:rsid w:val="0072204B"/>
    <w:rsid w:val="007257BB"/>
    <w:rsid w:val="0073181E"/>
    <w:rsid w:val="007328D5"/>
    <w:rsid w:val="0073340A"/>
    <w:rsid w:val="007417D0"/>
    <w:rsid w:val="007437C3"/>
    <w:rsid w:val="007444C9"/>
    <w:rsid w:val="00761C69"/>
    <w:rsid w:val="00764B03"/>
    <w:rsid w:val="007716A5"/>
    <w:rsid w:val="00780722"/>
    <w:rsid w:val="00785FFD"/>
    <w:rsid w:val="0078668A"/>
    <w:rsid w:val="007927F1"/>
    <w:rsid w:val="00794CF5"/>
    <w:rsid w:val="00796106"/>
    <w:rsid w:val="007A2A2C"/>
    <w:rsid w:val="007B5BD3"/>
    <w:rsid w:val="007B6F82"/>
    <w:rsid w:val="007C5524"/>
    <w:rsid w:val="007D163A"/>
    <w:rsid w:val="007D1FD8"/>
    <w:rsid w:val="007D27E9"/>
    <w:rsid w:val="007D5C6D"/>
    <w:rsid w:val="007D7D6F"/>
    <w:rsid w:val="007E1DFE"/>
    <w:rsid w:val="007F2A94"/>
    <w:rsid w:val="007F57B4"/>
    <w:rsid w:val="00802E40"/>
    <w:rsid w:val="00804844"/>
    <w:rsid w:val="00804E70"/>
    <w:rsid w:val="00810133"/>
    <w:rsid w:val="00821A84"/>
    <w:rsid w:val="00824FC4"/>
    <w:rsid w:val="008329E8"/>
    <w:rsid w:val="00835B40"/>
    <w:rsid w:val="00835C2E"/>
    <w:rsid w:val="0083600E"/>
    <w:rsid w:val="008371BF"/>
    <w:rsid w:val="008451AC"/>
    <w:rsid w:val="00846B65"/>
    <w:rsid w:val="008471F4"/>
    <w:rsid w:val="008519E9"/>
    <w:rsid w:val="00851B12"/>
    <w:rsid w:val="00856B2F"/>
    <w:rsid w:val="00857B05"/>
    <w:rsid w:val="00857D54"/>
    <w:rsid w:val="008611BB"/>
    <w:rsid w:val="008656F4"/>
    <w:rsid w:val="0086638F"/>
    <w:rsid w:val="0087340B"/>
    <w:rsid w:val="00880530"/>
    <w:rsid w:val="008862CC"/>
    <w:rsid w:val="008938EA"/>
    <w:rsid w:val="00893D16"/>
    <w:rsid w:val="0089578E"/>
    <w:rsid w:val="008965CE"/>
    <w:rsid w:val="00897B6E"/>
    <w:rsid w:val="008A2C81"/>
    <w:rsid w:val="008A4C0D"/>
    <w:rsid w:val="008A4DD0"/>
    <w:rsid w:val="008A6A3A"/>
    <w:rsid w:val="008B2BBD"/>
    <w:rsid w:val="008B480B"/>
    <w:rsid w:val="008D2902"/>
    <w:rsid w:val="008D6379"/>
    <w:rsid w:val="008D7579"/>
    <w:rsid w:val="008E23E5"/>
    <w:rsid w:val="008F0087"/>
    <w:rsid w:val="008F2793"/>
    <w:rsid w:val="008F2FFB"/>
    <w:rsid w:val="008F39A4"/>
    <w:rsid w:val="008F6A60"/>
    <w:rsid w:val="0090557A"/>
    <w:rsid w:val="00910F1F"/>
    <w:rsid w:val="00911295"/>
    <w:rsid w:val="009149CD"/>
    <w:rsid w:val="00915BB7"/>
    <w:rsid w:val="00917008"/>
    <w:rsid w:val="00922EC7"/>
    <w:rsid w:val="00930B3A"/>
    <w:rsid w:val="00937B06"/>
    <w:rsid w:val="00942F5E"/>
    <w:rsid w:val="00943883"/>
    <w:rsid w:val="009547CD"/>
    <w:rsid w:val="00956128"/>
    <w:rsid w:val="00956FDC"/>
    <w:rsid w:val="009603F7"/>
    <w:rsid w:val="0096253F"/>
    <w:rsid w:val="0097183B"/>
    <w:rsid w:val="00977374"/>
    <w:rsid w:val="00981BF4"/>
    <w:rsid w:val="009A4E6E"/>
    <w:rsid w:val="009B204D"/>
    <w:rsid w:val="009B68A4"/>
    <w:rsid w:val="009C07CE"/>
    <w:rsid w:val="009C0CD4"/>
    <w:rsid w:val="009C15B2"/>
    <w:rsid w:val="009C15C3"/>
    <w:rsid w:val="009C6780"/>
    <w:rsid w:val="009D02A6"/>
    <w:rsid w:val="009D2110"/>
    <w:rsid w:val="009E1944"/>
    <w:rsid w:val="009E3522"/>
    <w:rsid w:val="009F08F4"/>
    <w:rsid w:val="009F6D9B"/>
    <w:rsid w:val="00A031EB"/>
    <w:rsid w:val="00A036F2"/>
    <w:rsid w:val="00A10711"/>
    <w:rsid w:val="00A12885"/>
    <w:rsid w:val="00A233CC"/>
    <w:rsid w:val="00A2643C"/>
    <w:rsid w:val="00A26B02"/>
    <w:rsid w:val="00A34FCD"/>
    <w:rsid w:val="00A3672B"/>
    <w:rsid w:val="00A40C79"/>
    <w:rsid w:val="00A42673"/>
    <w:rsid w:val="00A42A6F"/>
    <w:rsid w:val="00A436FC"/>
    <w:rsid w:val="00A617A2"/>
    <w:rsid w:val="00A67D30"/>
    <w:rsid w:val="00A70F77"/>
    <w:rsid w:val="00A71A03"/>
    <w:rsid w:val="00A72DDC"/>
    <w:rsid w:val="00A73269"/>
    <w:rsid w:val="00A81252"/>
    <w:rsid w:val="00A831A4"/>
    <w:rsid w:val="00A86D80"/>
    <w:rsid w:val="00A87EFA"/>
    <w:rsid w:val="00AA0338"/>
    <w:rsid w:val="00AB2EA1"/>
    <w:rsid w:val="00AC2A84"/>
    <w:rsid w:val="00AC3025"/>
    <w:rsid w:val="00AC427E"/>
    <w:rsid w:val="00AC645A"/>
    <w:rsid w:val="00AC7FE4"/>
    <w:rsid w:val="00AD7EF8"/>
    <w:rsid w:val="00AE6415"/>
    <w:rsid w:val="00AF654D"/>
    <w:rsid w:val="00B2286D"/>
    <w:rsid w:val="00B27311"/>
    <w:rsid w:val="00B27674"/>
    <w:rsid w:val="00B30528"/>
    <w:rsid w:val="00B37445"/>
    <w:rsid w:val="00B40C7D"/>
    <w:rsid w:val="00B45B75"/>
    <w:rsid w:val="00B71872"/>
    <w:rsid w:val="00B77714"/>
    <w:rsid w:val="00B837C6"/>
    <w:rsid w:val="00B9171F"/>
    <w:rsid w:val="00B93460"/>
    <w:rsid w:val="00B95CBB"/>
    <w:rsid w:val="00B97674"/>
    <w:rsid w:val="00BA004E"/>
    <w:rsid w:val="00BA158B"/>
    <w:rsid w:val="00BA38F4"/>
    <w:rsid w:val="00BA6615"/>
    <w:rsid w:val="00BA7C96"/>
    <w:rsid w:val="00BB7661"/>
    <w:rsid w:val="00BC314C"/>
    <w:rsid w:val="00BC7C01"/>
    <w:rsid w:val="00BD0652"/>
    <w:rsid w:val="00BD12FD"/>
    <w:rsid w:val="00BE7D10"/>
    <w:rsid w:val="00BF7363"/>
    <w:rsid w:val="00BF7787"/>
    <w:rsid w:val="00BF7F6F"/>
    <w:rsid w:val="00C06774"/>
    <w:rsid w:val="00C072EB"/>
    <w:rsid w:val="00C16326"/>
    <w:rsid w:val="00C16C6E"/>
    <w:rsid w:val="00C17F25"/>
    <w:rsid w:val="00C30907"/>
    <w:rsid w:val="00C36D11"/>
    <w:rsid w:val="00C409AC"/>
    <w:rsid w:val="00C418AF"/>
    <w:rsid w:val="00C43751"/>
    <w:rsid w:val="00C444B4"/>
    <w:rsid w:val="00C44B22"/>
    <w:rsid w:val="00C459DB"/>
    <w:rsid w:val="00C5117C"/>
    <w:rsid w:val="00C5227D"/>
    <w:rsid w:val="00C53AA3"/>
    <w:rsid w:val="00C577F3"/>
    <w:rsid w:val="00C6431D"/>
    <w:rsid w:val="00C666DA"/>
    <w:rsid w:val="00C66FE4"/>
    <w:rsid w:val="00C731DF"/>
    <w:rsid w:val="00C82779"/>
    <w:rsid w:val="00C8530D"/>
    <w:rsid w:val="00C85419"/>
    <w:rsid w:val="00C871D8"/>
    <w:rsid w:val="00C92399"/>
    <w:rsid w:val="00C947EF"/>
    <w:rsid w:val="00CA31D6"/>
    <w:rsid w:val="00CA3DB9"/>
    <w:rsid w:val="00CA7389"/>
    <w:rsid w:val="00CB0256"/>
    <w:rsid w:val="00CB1772"/>
    <w:rsid w:val="00CB186B"/>
    <w:rsid w:val="00CB3438"/>
    <w:rsid w:val="00CB58AD"/>
    <w:rsid w:val="00CB7027"/>
    <w:rsid w:val="00CD795E"/>
    <w:rsid w:val="00CE07A8"/>
    <w:rsid w:val="00CE7EED"/>
    <w:rsid w:val="00CF207E"/>
    <w:rsid w:val="00CF73F0"/>
    <w:rsid w:val="00D04B50"/>
    <w:rsid w:val="00D05635"/>
    <w:rsid w:val="00D124AD"/>
    <w:rsid w:val="00D147F0"/>
    <w:rsid w:val="00D333DA"/>
    <w:rsid w:val="00D43644"/>
    <w:rsid w:val="00D445EA"/>
    <w:rsid w:val="00D45411"/>
    <w:rsid w:val="00D46A76"/>
    <w:rsid w:val="00D46E39"/>
    <w:rsid w:val="00D522E2"/>
    <w:rsid w:val="00D55DFF"/>
    <w:rsid w:val="00D57107"/>
    <w:rsid w:val="00D60259"/>
    <w:rsid w:val="00D621CB"/>
    <w:rsid w:val="00D6456F"/>
    <w:rsid w:val="00D665B8"/>
    <w:rsid w:val="00D74306"/>
    <w:rsid w:val="00D7625F"/>
    <w:rsid w:val="00D84160"/>
    <w:rsid w:val="00D84ACE"/>
    <w:rsid w:val="00D86623"/>
    <w:rsid w:val="00D87715"/>
    <w:rsid w:val="00D918F7"/>
    <w:rsid w:val="00D974AC"/>
    <w:rsid w:val="00DA6A80"/>
    <w:rsid w:val="00DA7694"/>
    <w:rsid w:val="00DB2594"/>
    <w:rsid w:val="00DC32E5"/>
    <w:rsid w:val="00DC79F1"/>
    <w:rsid w:val="00DD0BFC"/>
    <w:rsid w:val="00DD52AF"/>
    <w:rsid w:val="00DD6E2C"/>
    <w:rsid w:val="00DE208C"/>
    <w:rsid w:val="00DF1698"/>
    <w:rsid w:val="00DF44D0"/>
    <w:rsid w:val="00E00225"/>
    <w:rsid w:val="00E043CD"/>
    <w:rsid w:val="00E05358"/>
    <w:rsid w:val="00E13CB0"/>
    <w:rsid w:val="00E148D0"/>
    <w:rsid w:val="00E22CFA"/>
    <w:rsid w:val="00E23132"/>
    <w:rsid w:val="00E263C4"/>
    <w:rsid w:val="00E359D2"/>
    <w:rsid w:val="00E4007B"/>
    <w:rsid w:val="00E444C3"/>
    <w:rsid w:val="00E532A3"/>
    <w:rsid w:val="00E53C93"/>
    <w:rsid w:val="00E57B48"/>
    <w:rsid w:val="00E635FA"/>
    <w:rsid w:val="00E74B6A"/>
    <w:rsid w:val="00E7558C"/>
    <w:rsid w:val="00E76E9B"/>
    <w:rsid w:val="00E80975"/>
    <w:rsid w:val="00E90C94"/>
    <w:rsid w:val="00E97AC5"/>
    <w:rsid w:val="00EA0422"/>
    <w:rsid w:val="00EA3D83"/>
    <w:rsid w:val="00EB1C95"/>
    <w:rsid w:val="00EB66A2"/>
    <w:rsid w:val="00EB7E87"/>
    <w:rsid w:val="00EC044D"/>
    <w:rsid w:val="00EC1DEB"/>
    <w:rsid w:val="00ED1D40"/>
    <w:rsid w:val="00EE27AD"/>
    <w:rsid w:val="00EF522D"/>
    <w:rsid w:val="00EF63F0"/>
    <w:rsid w:val="00EF7481"/>
    <w:rsid w:val="00F0348A"/>
    <w:rsid w:val="00F07923"/>
    <w:rsid w:val="00F110D8"/>
    <w:rsid w:val="00F26285"/>
    <w:rsid w:val="00F364B8"/>
    <w:rsid w:val="00F4761F"/>
    <w:rsid w:val="00F649B1"/>
    <w:rsid w:val="00F66644"/>
    <w:rsid w:val="00F67AFF"/>
    <w:rsid w:val="00F70761"/>
    <w:rsid w:val="00F8123F"/>
    <w:rsid w:val="00F82B45"/>
    <w:rsid w:val="00F84749"/>
    <w:rsid w:val="00F86BD1"/>
    <w:rsid w:val="00F91996"/>
    <w:rsid w:val="00F92BAB"/>
    <w:rsid w:val="00FA137D"/>
    <w:rsid w:val="00FA44B0"/>
    <w:rsid w:val="00FB74BC"/>
    <w:rsid w:val="00FC6910"/>
    <w:rsid w:val="00FC6921"/>
    <w:rsid w:val="00FC6D79"/>
    <w:rsid w:val="00FD3964"/>
    <w:rsid w:val="00FD6548"/>
    <w:rsid w:val="00FE27F1"/>
    <w:rsid w:val="00FE2C1B"/>
    <w:rsid w:val="00FE33D1"/>
    <w:rsid w:val="00FE76BB"/>
    <w:rsid w:val="00FF5E0D"/>
    <w:rsid w:val="00FF66BF"/>
    <w:rsid w:val="01BA74D8"/>
    <w:rsid w:val="02C61AA8"/>
    <w:rsid w:val="02ED0546"/>
    <w:rsid w:val="031D03CD"/>
    <w:rsid w:val="03B5576D"/>
    <w:rsid w:val="03EC7ADB"/>
    <w:rsid w:val="0409041B"/>
    <w:rsid w:val="042C2EB3"/>
    <w:rsid w:val="04767C3B"/>
    <w:rsid w:val="04F0632D"/>
    <w:rsid w:val="05941BB5"/>
    <w:rsid w:val="05CB5824"/>
    <w:rsid w:val="06165A07"/>
    <w:rsid w:val="061A28CE"/>
    <w:rsid w:val="063B7963"/>
    <w:rsid w:val="06FE791D"/>
    <w:rsid w:val="07475F20"/>
    <w:rsid w:val="080A5EAA"/>
    <w:rsid w:val="085479AE"/>
    <w:rsid w:val="0862540D"/>
    <w:rsid w:val="089F16FF"/>
    <w:rsid w:val="08ED66D1"/>
    <w:rsid w:val="08F97B37"/>
    <w:rsid w:val="090C2435"/>
    <w:rsid w:val="09120A9C"/>
    <w:rsid w:val="09223579"/>
    <w:rsid w:val="099519C5"/>
    <w:rsid w:val="09C87FBF"/>
    <w:rsid w:val="09CC4B7B"/>
    <w:rsid w:val="0A810267"/>
    <w:rsid w:val="0B27191F"/>
    <w:rsid w:val="0B51492D"/>
    <w:rsid w:val="0B5F3285"/>
    <w:rsid w:val="0B8400B5"/>
    <w:rsid w:val="0C63281E"/>
    <w:rsid w:val="0C6861CB"/>
    <w:rsid w:val="0D202402"/>
    <w:rsid w:val="0EB71AFE"/>
    <w:rsid w:val="0F065AC0"/>
    <w:rsid w:val="0F13759F"/>
    <w:rsid w:val="0F874C15"/>
    <w:rsid w:val="0F907B2E"/>
    <w:rsid w:val="10722578"/>
    <w:rsid w:val="10803DCF"/>
    <w:rsid w:val="10AB1AD9"/>
    <w:rsid w:val="114E41D5"/>
    <w:rsid w:val="11F23AE3"/>
    <w:rsid w:val="126A32DB"/>
    <w:rsid w:val="12B24C9B"/>
    <w:rsid w:val="12DE5484"/>
    <w:rsid w:val="132F7135"/>
    <w:rsid w:val="139C4404"/>
    <w:rsid w:val="14135073"/>
    <w:rsid w:val="14164E5C"/>
    <w:rsid w:val="143E56DE"/>
    <w:rsid w:val="14F050B9"/>
    <w:rsid w:val="150C5DC5"/>
    <w:rsid w:val="156C77F6"/>
    <w:rsid w:val="156D0CBC"/>
    <w:rsid w:val="15951623"/>
    <w:rsid w:val="159A4338"/>
    <w:rsid w:val="15FA68F3"/>
    <w:rsid w:val="17713261"/>
    <w:rsid w:val="17D73DC3"/>
    <w:rsid w:val="180D197A"/>
    <w:rsid w:val="19525AC0"/>
    <w:rsid w:val="19CC56D5"/>
    <w:rsid w:val="1A5E3E52"/>
    <w:rsid w:val="1A9E051C"/>
    <w:rsid w:val="1AA06974"/>
    <w:rsid w:val="1B6E5D59"/>
    <w:rsid w:val="1BB54032"/>
    <w:rsid w:val="1D384B7C"/>
    <w:rsid w:val="1E6A65C3"/>
    <w:rsid w:val="1FC311C1"/>
    <w:rsid w:val="1FE54EAB"/>
    <w:rsid w:val="1FF32C3F"/>
    <w:rsid w:val="20005309"/>
    <w:rsid w:val="20680E16"/>
    <w:rsid w:val="20806291"/>
    <w:rsid w:val="21323CF5"/>
    <w:rsid w:val="21444A25"/>
    <w:rsid w:val="22DD5001"/>
    <w:rsid w:val="23244912"/>
    <w:rsid w:val="234F0E6B"/>
    <w:rsid w:val="238728D2"/>
    <w:rsid w:val="242525C1"/>
    <w:rsid w:val="24E57250"/>
    <w:rsid w:val="24E923FB"/>
    <w:rsid w:val="25794595"/>
    <w:rsid w:val="25C72D08"/>
    <w:rsid w:val="2677669F"/>
    <w:rsid w:val="26B96E8C"/>
    <w:rsid w:val="26D964A5"/>
    <w:rsid w:val="26E26A34"/>
    <w:rsid w:val="26F249ED"/>
    <w:rsid w:val="272675C6"/>
    <w:rsid w:val="27C90F63"/>
    <w:rsid w:val="27D766FC"/>
    <w:rsid w:val="27E27C4E"/>
    <w:rsid w:val="280B1742"/>
    <w:rsid w:val="28304B5A"/>
    <w:rsid w:val="28B044E3"/>
    <w:rsid w:val="29046CEA"/>
    <w:rsid w:val="2A7549B2"/>
    <w:rsid w:val="2AA21122"/>
    <w:rsid w:val="2B7C26CD"/>
    <w:rsid w:val="2BD10C29"/>
    <w:rsid w:val="2D1847F2"/>
    <w:rsid w:val="2D1F703A"/>
    <w:rsid w:val="2D3F3CB0"/>
    <w:rsid w:val="2D721087"/>
    <w:rsid w:val="2DF930BE"/>
    <w:rsid w:val="2E49648D"/>
    <w:rsid w:val="2E5A2AB0"/>
    <w:rsid w:val="2EDD3078"/>
    <w:rsid w:val="2F4A3A46"/>
    <w:rsid w:val="2F86499E"/>
    <w:rsid w:val="2FA15A0A"/>
    <w:rsid w:val="2FBC4320"/>
    <w:rsid w:val="2FDF28AF"/>
    <w:rsid w:val="302E4EA9"/>
    <w:rsid w:val="305B10CC"/>
    <w:rsid w:val="313129BB"/>
    <w:rsid w:val="31B83E69"/>
    <w:rsid w:val="31D07FB6"/>
    <w:rsid w:val="3246124C"/>
    <w:rsid w:val="32FB20EE"/>
    <w:rsid w:val="333D540A"/>
    <w:rsid w:val="334A26ED"/>
    <w:rsid w:val="338B6450"/>
    <w:rsid w:val="33911C8A"/>
    <w:rsid w:val="33E24CA4"/>
    <w:rsid w:val="340F0C9A"/>
    <w:rsid w:val="34593F1F"/>
    <w:rsid w:val="349959E0"/>
    <w:rsid w:val="34AF080A"/>
    <w:rsid w:val="34C954A7"/>
    <w:rsid w:val="350D49A9"/>
    <w:rsid w:val="35243F93"/>
    <w:rsid w:val="35866371"/>
    <w:rsid w:val="36536A75"/>
    <w:rsid w:val="369A75C2"/>
    <w:rsid w:val="36E30286"/>
    <w:rsid w:val="37085FD6"/>
    <w:rsid w:val="372E10AF"/>
    <w:rsid w:val="37877288"/>
    <w:rsid w:val="37900A99"/>
    <w:rsid w:val="38436286"/>
    <w:rsid w:val="38922480"/>
    <w:rsid w:val="3932540D"/>
    <w:rsid w:val="395E15D2"/>
    <w:rsid w:val="39A26D10"/>
    <w:rsid w:val="3A0406AD"/>
    <w:rsid w:val="3AA3477F"/>
    <w:rsid w:val="3AFD663D"/>
    <w:rsid w:val="3B401C99"/>
    <w:rsid w:val="3C0A2C7D"/>
    <w:rsid w:val="3C316352"/>
    <w:rsid w:val="3C336DE0"/>
    <w:rsid w:val="3C775AA6"/>
    <w:rsid w:val="3C87245E"/>
    <w:rsid w:val="3CDD6503"/>
    <w:rsid w:val="3D457DC9"/>
    <w:rsid w:val="3D524B4A"/>
    <w:rsid w:val="3DD970CA"/>
    <w:rsid w:val="3E0A4116"/>
    <w:rsid w:val="3E1C043D"/>
    <w:rsid w:val="3EBE3F37"/>
    <w:rsid w:val="3F860869"/>
    <w:rsid w:val="40303DA2"/>
    <w:rsid w:val="405F1F89"/>
    <w:rsid w:val="40696F91"/>
    <w:rsid w:val="41070B14"/>
    <w:rsid w:val="415079F9"/>
    <w:rsid w:val="41BA2D43"/>
    <w:rsid w:val="41E434D0"/>
    <w:rsid w:val="435D6768"/>
    <w:rsid w:val="43B42CDB"/>
    <w:rsid w:val="442A28FB"/>
    <w:rsid w:val="444E7FAF"/>
    <w:rsid w:val="44687318"/>
    <w:rsid w:val="44A507B8"/>
    <w:rsid w:val="44C839A2"/>
    <w:rsid w:val="44D44E86"/>
    <w:rsid w:val="4526160A"/>
    <w:rsid w:val="45BA1E50"/>
    <w:rsid w:val="45EF39E5"/>
    <w:rsid w:val="46287EFD"/>
    <w:rsid w:val="46C922BE"/>
    <w:rsid w:val="46E12AD6"/>
    <w:rsid w:val="47D32FA1"/>
    <w:rsid w:val="48312786"/>
    <w:rsid w:val="48AD02E6"/>
    <w:rsid w:val="49893AFC"/>
    <w:rsid w:val="4A2C70AF"/>
    <w:rsid w:val="4A6560EA"/>
    <w:rsid w:val="4A8C274A"/>
    <w:rsid w:val="4B037AE3"/>
    <w:rsid w:val="4B6F7F10"/>
    <w:rsid w:val="4C1223E2"/>
    <w:rsid w:val="4CBC1D1A"/>
    <w:rsid w:val="4D1B6E7F"/>
    <w:rsid w:val="4D9A08AD"/>
    <w:rsid w:val="4DC179CE"/>
    <w:rsid w:val="4E261909"/>
    <w:rsid w:val="4E871135"/>
    <w:rsid w:val="4FD166E3"/>
    <w:rsid w:val="4FE20FFC"/>
    <w:rsid w:val="51066D1F"/>
    <w:rsid w:val="516D666C"/>
    <w:rsid w:val="52195388"/>
    <w:rsid w:val="52FC5CF6"/>
    <w:rsid w:val="532D462D"/>
    <w:rsid w:val="53BB5C6C"/>
    <w:rsid w:val="54033D38"/>
    <w:rsid w:val="542A263F"/>
    <w:rsid w:val="548334CB"/>
    <w:rsid w:val="54946C28"/>
    <w:rsid w:val="5535790F"/>
    <w:rsid w:val="555C085E"/>
    <w:rsid w:val="555D3BD4"/>
    <w:rsid w:val="558B6A98"/>
    <w:rsid w:val="562D131B"/>
    <w:rsid w:val="566775B2"/>
    <w:rsid w:val="56AA2208"/>
    <w:rsid w:val="56AA4117"/>
    <w:rsid w:val="573A5F07"/>
    <w:rsid w:val="574A1AF3"/>
    <w:rsid w:val="57D301D6"/>
    <w:rsid w:val="57D63F51"/>
    <w:rsid w:val="57EA5C0A"/>
    <w:rsid w:val="5934752A"/>
    <w:rsid w:val="595E2DFD"/>
    <w:rsid w:val="59642597"/>
    <w:rsid w:val="597E615D"/>
    <w:rsid w:val="59CE2730"/>
    <w:rsid w:val="59F85A3E"/>
    <w:rsid w:val="5A9A5EF1"/>
    <w:rsid w:val="5AA81D3B"/>
    <w:rsid w:val="5B2245AA"/>
    <w:rsid w:val="5B316879"/>
    <w:rsid w:val="5B7C02E4"/>
    <w:rsid w:val="5C1775EE"/>
    <w:rsid w:val="5C5A610C"/>
    <w:rsid w:val="5CE56EBA"/>
    <w:rsid w:val="5E887797"/>
    <w:rsid w:val="5EF267F6"/>
    <w:rsid w:val="5FE77A64"/>
    <w:rsid w:val="5FEF15A3"/>
    <w:rsid w:val="5FF40500"/>
    <w:rsid w:val="60055420"/>
    <w:rsid w:val="60C7464C"/>
    <w:rsid w:val="61DD7FCA"/>
    <w:rsid w:val="6258246C"/>
    <w:rsid w:val="629B7458"/>
    <w:rsid w:val="62DC6090"/>
    <w:rsid w:val="62DE1D41"/>
    <w:rsid w:val="63AB3F97"/>
    <w:rsid w:val="64270182"/>
    <w:rsid w:val="64837AD2"/>
    <w:rsid w:val="64B12222"/>
    <w:rsid w:val="64B7208A"/>
    <w:rsid w:val="66112628"/>
    <w:rsid w:val="664F1258"/>
    <w:rsid w:val="666A5CB3"/>
    <w:rsid w:val="66DE6B36"/>
    <w:rsid w:val="66DF0BBB"/>
    <w:rsid w:val="66EA2FA0"/>
    <w:rsid w:val="67E46151"/>
    <w:rsid w:val="68487DED"/>
    <w:rsid w:val="68816DF0"/>
    <w:rsid w:val="6A2C588E"/>
    <w:rsid w:val="6A9D09AC"/>
    <w:rsid w:val="6AEE477E"/>
    <w:rsid w:val="6BA44754"/>
    <w:rsid w:val="6BBB4B38"/>
    <w:rsid w:val="6C255280"/>
    <w:rsid w:val="6C283244"/>
    <w:rsid w:val="6CD746B2"/>
    <w:rsid w:val="6CD74D61"/>
    <w:rsid w:val="6D1E1E02"/>
    <w:rsid w:val="6D232FC7"/>
    <w:rsid w:val="6D254B93"/>
    <w:rsid w:val="6D6132D3"/>
    <w:rsid w:val="6DAB2625"/>
    <w:rsid w:val="6DF51EB4"/>
    <w:rsid w:val="6E4B26AF"/>
    <w:rsid w:val="6EB94B54"/>
    <w:rsid w:val="6ED450D8"/>
    <w:rsid w:val="6ED8734A"/>
    <w:rsid w:val="6EDB0079"/>
    <w:rsid w:val="6EF74444"/>
    <w:rsid w:val="70761FC0"/>
    <w:rsid w:val="70B25587"/>
    <w:rsid w:val="70C7473B"/>
    <w:rsid w:val="70FA08E1"/>
    <w:rsid w:val="71AC6215"/>
    <w:rsid w:val="7201678E"/>
    <w:rsid w:val="723B0405"/>
    <w:rsid w:val="72A56659"/>
    <w:rsid w:val="72DA3ED7"/>
    <w:rsid w:val="7448171A"/>
    <w:rsid w:val="74CE64F5"/>
    <w:rsid w:val="753D2098"/>
    <w:rsid w:val="75780F23"/>
    <w:rsid w:val="75870428"/>
    <w:rsid w:val="75E51AE4"/>
    <w:rsid w:val="76234C15"/>
    <w:rsid w:val="77C51355"/>
    <w:rsid w:val="78474182"/>
    <w:rsid w:val="78672BC9"/>
    <w:rsid w:val="79346C45"/>
    <w:rsid w:val="795E2EAA"/>
    <w:rsid w:val="798E0BAC"/>
    <w:rsid w:val="79FB4506"/>
    <w:rsid w:val="7A067ABF"/>
    <w:rsid w:val="7A9529ED"/>
    <w:rsid w:val="7AB47A32"/>
    <w:rsid w:val="7AF51102"/>
    <w:rsid w:val="7B4F0926"/>
    <w:rsid w:val="7B826F80"/>
    <w:rsid w:val="7C237E76"/>
    <w:rsid w:val="7CAF7D8B"/>
    <w:rsid w:val="7CFE1691"/>
    <w:rsid w:val="7D3D5EA1"/>
    <w:rsid w:val="7D5D4C17"/>
    <w:rsid w:val="7D9B6E5C"/>
    <w:rsid w:val="7DAB498C"/>
    <w:rsid w:val="7DAF3942"/>
    <w:rsid w:val="7E117344"/>
    <w:rsid w:val="7E541D1B"/>
    <w:rsid w:val="7E85256E"/>
    <w:rsid w:val="7E980A9D"/>
    <w:rsid w:val="7F7D1B3B"/>
    <w:rsid w:val="7FDA03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7"/>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3"/>
    <w:qFormat/>
    <w:uiPriority w:val="99"/>
    <w:pPr>
      <w:keepNext/>
      <w:jc w:val="center"/>
      <w:outlineLvl w:val="0"/>
    </w:pPr>
    <w:rPr>
      <w:rFonts w:ascii="KaiTi_GB2312" w:eastAsia="KaiTi_GB2312"/>
      <w:sz w:val="28"/>
      <w:szCs w:val="28"/>
    </w:rPr>
  </w:style>
  <w:style w:type="paragraph" w:styleId="4">
    <w:name w:val="heading 2"/>
    <w:basedOn w:val="1"/>
    <w:next w:val="5"/>
    <w:link w:val="44"/>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2">
    <w:name w:val="heading 3"/>
    <w:basedOn w:val="1"/>
    <w:next w:val="1"/>
    <w:link w:val="45"/>
    <w:qFormat/>
    <w:uiPriority w:val="99"/>
    <w:pPr>
      <w:keepNext/>
      <w:keepLines/>
      <w:spacing w:before="260" w:after="260" w:line="416" w:lineRule="auto"/>
      <w:outlineLvl w:val="2"/>
    </w:pPr>
    <w:rPr>
      <w:b/>
      <w:bCs/>
      <w:sz w:val="32"/>
      <w:szCs w:val="32"/>
    </w:rPr>
  </w:style>
  <w:style w:type="paragraph" w:styleId="6">
    <w:name w:val="heading 4"/>
    <w:basedOn w:val="1"/>
    <w:next w:val="1"/>
    <w:link w:val="46"/>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47"/>
    <w:qFormat/>
    <w:uiPriority w:val="99"/>
    <w:pPr>
      <w:keepNext/>
      <w:autoSpaceDE w:val="0"/>
      <w:autoSpaceDN w:val="0"/>
      <w:adjustRightInd w:val="0"/>
      <w:outlineLvl w:val="4"/>
    </w:pPr>
    <w:rPr>
      <w:rFonts w:ascii="宋体"/>
      <w:color w:val="000000"/>
      <w:kern w:val="0"/>
      <w:sz w:val="28"/>
      <w:szCs w:val="28"/>
    </w:rPr>
  </w:style>
  <w:style w:type="paragraph" w:styleId="8">
    <w:name w:val="heading 6"/>
    <w:basedOn w:val="1"/>
    <w:next w:val="1"/>
    <w:link w:val="48"/>
    <w:qFormat/>
    <w:uiPriority w:val="99"/>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49"/>
    <w:qFormat/>
    <w:uiPriority w:val="99"/>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50"/>
    <w:qFormat/>
    <w:uiPriority w:val="99"/>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1"/>
    <w:qFormat/>
    <w:uiPriority w:val="99"/>
    <w:pPr>
      <w:keepNext/>
      <w:keepLines/>
      <w:numPr>
        <w:ilvl w:val="8"/>
        <w:numId w:val="1"/>
      </w:numPr>
      <w:spacing w:before="240" w:after="64" w:line="320" w:lineRule="auto"/>
      <w:outlineLvl w:val="8"/>
    </w:pPr>
    <w:rPr>
      <w:rFonts w:ascii="Arial" w:hAnsi="Arial" w:eastAsia="黑体"/>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8"/>
    <w:qFormat/>
    <w:uiPriority w:val="99"/>
    <w:pPr>
      <w:ind w:firstLine="420"/>
    </w:pPr>
    <w:rPr>
      <w:kern w:val="0"/>
      <w:szCs w:val="20"/>
    </w:rPr>
  </w:style>
  <w:style w:type="paragraph" w:styleId="12">
    <w:name w:val="List 3"/>
    <w:basedOn w:val="1"/>
    <w:qFormat/>
    <w:uiPriority w:val="99"/>
    <w:pPr>
      <w:ind w:left="100" w:leftChars="400" w:hanging="200" w:hangingChars="200"/>
    </w:pPr>
  </w:style>
  <w:style w:type="paragraph" w:styleId="13">
    <w:name w:val="Document Map"/>
    <w:basedOn w:val="1"/>
    <w:link w:val="56"/>
    <w:semiHidden/>
    <w:qFormat/>
    <w:uiPriority w:val="99"/>
    <w:pPr>
      <w:shd w:val="clear" w:color="auto" w:fill="000080"/>
    </w:pPr>
  </w:style>
  <w:style w:type="paragraph" w:styleId="14">
    <w:name w:val="annotation text"/>
    <w:basedOn w:val="1"/>
    <w:link w:val="89"/>
    <w:semiHidden/>
    <w:qFormat/>
    <w:uiPriority w:val="99"/>
    <w:pPr>
      <w:jc w:val="left"/>
    </w:pPr>
  </w:style>
  <w:style w:type="paragraph" w:styleId="15">
    <w:name w:val="Body Text 3"/>
    <w:basedOn w:val="1"/>
    <w:link w:val="57"/>
    <w:qFormat/>
    <w:uiPriority w:val="99"/>
    <w:rPr>
      <w:rFonts w:ascii="仿宋_GB2312" w:hAnsi="Arial" w:eastAsia="仿宋_GB2312"/>
      <w:sz w:val="32"/>
      <w:szCs w:val="32"/>
    </w:rPr>
  </w:style>
  <w:style w:type="paragraph" w:styleId="16">
    <w:name w:val="Body Text"/>
    <w:basedOn w:val="1"/>
    <w:next w:val="1"/>
    <w:link w:val="54"/>
    <w:qFormat/>
    <w:uiPriority w:val="99"/>
    <w:rPr>
      <w:rFonts w:ascii="KaiTi_GB2312" w:hAnsi="Arial" w:eastAsia="KaiTi_GB2312"/>
      <w:sz w:val="28"/>
      <w:szCs w:val="28"/>
    </w:rPr>
  </w:style>
  <w:style w:type="paragraph" w:styleId="17">
    <w:name w:val="Body Text Indent"/>
    <w:basedOn w:val="1"/>
    <w:next w:val="18"/>
    <w:link w:val="58"/>
    <w:qFormat/>
    <w:uiPriority w:val="99"/>
    <w:pPr>
      <w:ind w:firstLine="645"/>
    </w:pPr>
    <w:rPr>
      <w:rFonts w:ascii="KaiTi_GB2312" w:eastAsia="KaiTi_GB2312"/>
      <w:sz w:val="32"/>
      <w:szCs w:val="32"/>
    </w:rPr>
  </w:style>
  <w:style w:type="paragraph" w:styleId="18">
    <w:name w:val="envelope return"/>
    <w:basedOn w:val="1"/>
    <w:qFormat/>
    <w:locked/>
    <w:uiPriority w:val="0"/>
    <w:pPr>
      <w:snapToGrid w:val="0"/>
    </w:pPr>
    <w:rPr>
      <w:rFonts w:ascii="Arial" w:hAnsi="Arial" w:eastAsia="宋体" w:cs="Times New Roman"/>
    </w:rPr>
  </w:style>
  <w:style w:type="paragraph" w:styleId="19">
    <w:name w:val="List 2"/>
    <w:basedOn w:val="1"/>
    <w:qFormat/>
    <w:uiPriority w:val="99"/>
    <w:pPr>
      <w:ind w:left="100" w:leftChars="200" w:hanging="200" w:hangingChars="200"/>
    </w:pPr>
  </w:style>
  <w:style w:type="paragraph" w:styleId="20">
    <w:name w:val="Plain Text"/>
    <w:basedOn w:val="1"/>
    <w:next w:val="1"/>
    <w:link w:val="59"/>
    <w:qFormat/>
    <w:uiPriority w:val="99"/>
    <w:rPr>
      <w:rFonts w:ascii="宋体" w:hAnsi="Courier New" w:cs="Courier New"/>
    </w:rPr>
  </w:style>
  <w:style w:type="paragraph" w:styleId="21">
    <w:name w:val="Date"/>
    <w:basedOn w:val="1"/>
    <w:next w:val="1"/>
    <w:link w:val="60"/>
    <w:qFormat/>
    <w:uiPriority w:val="99"/>
    <w:rPr>
      <w:sz w:val="24"/>
      <w:szCs w:val="24"/>
    </w:rPr>
  </w:style>
  <w:style w:type="paragraph" w:styleId="22">
    <w:name w:val="Body Text Indent 2"/>
    <w:basedOn w:val="1"/>
    <w:link w:val="61"/>
    <w:qFormat/>
    <w:uiPriority w:val="99"/>
    <w:pPr>
      <w:ind w:left="630" w:firstLine="645"/>
    </w:pPr>
    <w:rPr>
      <w:rFonts w:ascii="Arial" w:hAnsi="Arial" w:eastAsia="仿宋_GB2312" w:cs="Arial"/>
      <w:sz w:val="32"/>
      <w:szCs w:val="32"/>
    </w:rPr>
  </w:style>
  <w:style w:type="paragraph" w:styleId="23">
    <w:name w:val="Balloon Text"/>
    <w:basedOn w:val="1"/>
    <w:link w:val="91"/>
    <w:semiHidden/>
    <w:qFormat/>
    <w:uiPriority w:val="99"/>
    <w:rPr>
      <w:sz w:val="18"/>
      <w:szCs w:val="18"/>
    </w:rPr>
  </w:style>
  <w:style w:type="paragraph" w:styleId="24">
    <w:name w:val="footer"/>
    <w:basedOn w:val="1"/>
    <w:link w:val="63"/>
    <w:qFormat/>
    <w:uiPriority w:val="99"/>
    <w:pPr>
      <w:tabs>
        <w:tab w:val="center" w:pos="4153"/>
        <w:tab w:val="right" w:pos="8306"/>
      </w:tabs>
      <w:snapToGrid w:val="0"/>
      <w:jc w:val="left"/>
    </w:pPr>
    <w:rPr>
      <w:sz w:val="18"/>
      <w:szCs w:val="18"/>
    </w:rPr>
  </w:style>
  <w:style w:type="paragraph" w:styleId="25">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6">
    <w:name w:val="List"/>
    <w:basedOn w:val="1"/>
    <w:qFormat/>
    <w:uiPriority w:val="99"/>
    <w:pPr>
      <w:ind w:left="200" w:hanging="200" w:hangingChars="200"/>
    </w:pPr>
  </w:style>
  <w:style w:type="paragraph" w:styleId="27">
    <w:name w:val="Body Text Indent 3"/>
    <w:basedOn w:val="1"/>
    <w:link w:val="66"/>
    <w:qFormat/>
    <w:uiPriority w:val="99"/>
    <w:pPr>
      <w:ind w:left="645" w:firstLine="645"/>
    </w:pPr>
    <w:rPr>
      <w:rFonts w:ascii="Arial" w:hAnsi="Arial" w:eastAsia="仿宋_GB2312" w:cs="Arial"/>
      <w:color w:val="FFFF00"/>
      <w:sz w:val="32"/>
      <w:szCs w:val="32"/>
    </w:rPr>
  </w:style>
  <w:style w:type="paragraph" w:styleId="28">
    <w:name w:val="Body Text 2"/>
    <w:basedOn w:val="1"/>
    <w:link w:val="67"/>
    <w:qFormat/>
    <w:uiPriority w:val="99"/>
    <w:pPr>
      <w:widowControl/>
      <w:jc w:val="center"/>
    </w:pPr>
    <w:rPr>
      <w:rFonts w:ascii="KaiTi_GB2312" w:eastAsia="KaiTi_GB2312"/>
      <w:sz w:val="28"/>
      <w:szCs w:val="28"/>
    </w:rPr>
  </w:style>
  <w:style w:type="paragraph" w:styleId="29">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14"/>
    <w:next w:val="14"/>
    <w:link w:val="90"/>
    <w:semiHidden/>
    <w:qFormat/>
    <w:uiPriority w:val="99"/>
    <w:rPr>
      <w:b/>
      <w:bCs/>
    </w:rPr>
  </w:style>
  <w:style w:type="paragraph" w:styleId="32">
    <w:name w:val="Body Text First Indent"/>
    <w:basedOn w:val="16"/>
    <w:next w:val="1"/>
    <w:link w:val="55"/>
    <w:qFormat/>
    <w:uiPriority w:val="99"/>
    <w:pPr>
      <w:spacing w:line="360" w:lineRule="auto"/>
      <w:ind w:firstLine="200" w:firstLineChars="200"/>
    </w:pPr>
    <w:rPr>
      <w:rFonts w:ascii="仿宋_GB2312" w:eastAsia="仿宋_GB2312"/>
      <w:sz w:val="30"/>
      <w:szCs w:val="30"/>
    </w:rPr>
  </w:style>
  <w:style w:type="paragraph" w:styleId="33">
    <w:name w:val="Body Text First Indent 2"/>
    <w:basedOn w:val="17"/>
    <w:link w:val="64"/>
    <w:qFormat/>
    <w:uiPriority w:val="99"/>
    <w:pPr>
      <w:spacing w:line="360" w:lineRule="auto"/>
      <w:ind w:firstLine="420" w:firstLineChars="200"/>
    </w:pPr>
    <w:rPr>
      <w:rFonts w:ascii="宋体" w:hAnsi="宋体" w:eastAsia="宋体"/>
      <w:sz w:val="21"/>
      <w:szCs w:val="20"/>
    </w:rPr>
  </w:style>
  <w:style w:type="table" w:styleId="35">
    <w:name w:val="Table Grid"/>
    <w:basedOn w:val="3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Strong"/>
    <w:basedOn w:val="36"/>
    <w:qFormat/>
    <w:uiPriority w:val="99"/>
    <w:rPr>
      <w:rFonts w:cs="Times New Roman"/>
      <w:b/>
    </w:rPr>
  </w:style>
  <w:style w:type="character" w:styleId="38">
    <w:name w:val="page number"/>
    <w:basedOn w:val="36"/>
    <w:qFormat/>
    <w:uiPriority w:val="99"/>
    <w:rPr>
      <w:rFonts w:cs="Times New Roman"/>
    </w:rPr>
  </w:style>
  <w:style w:type="character" w:styleId="39">
    <w:name w:val="FollowedHyperlink"/>
    <w:basedOn w:val="36"/>
    <w:qFormat/>
    <w:uiPriority w:val="99"/>
    <w:rPr>
      <w:rFonts w:cs="Times New Roman"/>
      <w:color w:val="800080"/>
      <w:u w:val="single"/>
    </w:rPr>
  </w:style>
  <w:style w:type="character" w:styleId="40">
    <w:name w:val="Hyperlink"/>
    <w:basedOn w:val="36"/>
    <w:qFormat/>
    <w:uiPriority w:val="99"/>
    <w:rPr>
      <w:rFonts w:cs="Times New Roman"/>
      <w:color w:val="0000FF"/>
      <w:u w:val="single"/>
    </w:rPr>
  </w:style>
  <w:style w:type="character" w:styleId="41">
    <w:name w:val="annotation reference"/>
    <w:basedOn w:val="36"/>
    <w:semiHidden/>
    <w:qFormat/>
    <w:uiPriority w:val="99"/>
    <w:rPr>
      <w:rFonts w:cs="Times New Roman"/>
      <w:sz w:val="21"/>
    </w:rPr>
  </w:style>
  <w:style w:type="paragraph" w:customStyle="1" w:styleId="4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3">
    <w:name w:val="标题 1 Char"/>
    <w:basedOn w:val="36"/>
    <w:link w:val="3"/>
    <w:qFormat/>
    <w:locked/>
    <w:uiPriority w:val="99"/>
    <w:rPr>
      <w:rFonts w:ascii="KaiTi_GB2312" w:hAnsi="Times New Roman" w:eastAsia="KaiTi_GB2312" w:cs="Times New Roman"/>
      <w:sz w:val="28"/>
      <w:szCs w:val="28"/>
    </w:rPr>
  </w:style>
  <w:style w:type="character" w:customStyle="1" w:styleId="44">
    <w:name w:val="标题 2 Char"/>
    <w:basedOn w:val="36"/>
    <w:link w:val="4"/>
    <w:qFormat/>
    <w:locked/>
    <w:uiPriority w:val="99"/>
    <w:rPr>
      <w:rFonts w:ascii="Arial" w:hAnsi="Arial" w:eastAsia="幼圆" w:cs="Arial"/>
      <w:b/>
      <w:bCs/>
      <w:sz w:val="44"/>
      <w:szCs w:val="44"/>
    </w:rPr>
  </w:style>
  <w:style w:type="character" w:customStyle="1" w:styleId="45">
    <w:name w:val="标题 3 Char"/>
    <w:basedOn w:val="36"/>
    <w:link w:val="2"/>
    <w:qFormat/>
    <w:locked/>
    <w:uiPriority w:val="99"/>
    <w:rPr>
      <w:rFonts w:ascii="Times New Roman" w:hAnsi="Times New Roman" w:eastAsia="宋体" w:cs="Times New Roman"/>
      <w:b/>
      <w:bCs/>
      <w:sz w:val="32"/>
      <w:szCs w:val="32"/>
    </w:rPr>
  </w:style>
  <w:style w:type="character" w:customStyle="1" w:styleId="46">
    <w:name w:val="标题 4 Char"/>
    <w:basedOn w:val="36"/>
    <w:link w:val="6"/>
    <w:qFormat/>
    <w:locked/>
    <w:uiPriority w:val="99"/>
    <w:rPr>
      <w:rFonts w:ascii="Arial" w:hAnsi="Arial" w:eastAsia="黑体" w:cs="Arial"/>
      <w:b/>
      <w:bCs/>
      <w:sz w:val="28"/>
      <w:szCs w:val="28"/>
    </w:rPr>
  </w:style>
  <w:style w:type="character" w:customStyle="1" w:styleId="47">
    <w:name w:val="标题 5 Char"/>
    <w:basedOn w:val="36"/>
    <w:link w:val="7"/>
    <w:qFormat/>
    <w:locked/>
    <w:uiPriority w:val="99"/>
    <w:rPr>
      <w:rFonts w:ascii="宋体" w:hAnsi="Times New Roman" w:eastAsia="宋体" w:cs="Times New Roman"/>
      <w:color w:val="000000"/>
      <w:kern w:val="0"/>
      <w:sz w:val="28"/>
      <w:szCs w:val="28"/>
    </w:rPr>
  </w:style>
  <w:style w:type="character" w:customStyle="1" w:styleId="48">
    <w:name w:val="标题 6 Char"/>
    <w:basedOn w:val="36"/>
    <w:link w:val="8"/>
    <w:qFormat/>
    <w:locked/>
    <w:uiPriority w:val="99"/>
    <w:rPr>
      <w:rFonts w:ascii="Arial" w:hAnsi="Arial" w:eastAsia="黑体" w:cs="Times New Roman"/>
      <w:b/>
      <w:bCs/>
      <w:sz w:val="24"/>
      <w:szCs w:val="24"/>
    </w:rPr>
  </w:style>
  <w:style w:type="character" w:customStyle="1" w:styleId="49">
    <w:name w:val="标题 7 Char"/>
    <w:basedOn w:val="36"/>
    <w:link w:val="9"/>
    <w:qFormat/>
    <w:locked/>
    <w:uiPriority w:val="99"/>
    <w:rPr>
      <w:rFonts w:ascii="Times New Roman" w:hAnsi="Times New Roman" w:eastAsia="宋体" w:cs="Times New Roman"/>
      <w:b/>
      <w:bCs/>
      <w:sz w:val="24"/>
      <w:szCs w:val="24"/>
    </w:rPr>
  </w:style>
  <w:style w:type="character" w:customStyle="1" w:styleId="50">
    <w:name w:val="标题 8 Char"/>
    <w:basedOn w:val="36"/>
    <w:link w:val="10"/>
    <w:qFormat/>
    <w:locked/>
    <w:uiPriority w:val="99"/>
    <w:rPr>
      <w:rFonts w:ascii="Arial" w:hAnsi="Arial" w:eastAsia="黑体" w:cs="Times New Roman"/>
      <w:sz w:val="24"/>
      <w:szCs w:val="24"/>
    </w:rPr>
  </w:style>
  <w:style w:type="character" w:customStyle="1" w:styleId="51">
    <w:name w:val="标题 9 Char"/>
    <w:basedOn w:val="36"/>
    <w:link w:val="11"/>
    <w:qFormat/>
    <w:locked/>
    <w:uiPriority w:val="99"/>
    <w:rPr>
      <w:rFonts w:ascii="Arial" w:hAnsi="Arial" w:eastAsia="黑体" w:cs="Times New Roman"/>
      <w:sz w:val="21"/>
      <w:szCs w:val="21"/>
    </w:rPr>
  </w:style>
  <w:style w:type="character" w:customStyle="1" w:styleId="52">
    <w:name w:val="批注文字 Char1"/>
    <w:basedOn w:val="36"/>
    <w:link w:val="14"/>
    <w:semiHidden/>
    <w:qFormat/>
    <w:locked/>
    <w:uiPriority w:val="99"/>
    <w:rPr>
      <w:rFonts w:ascii="Times New Roman" w:hAnsi="Times New Roman" w:eastAsia="宋体" w:cs="Times New Roman"/>
      <w:sz w:val="21"/>
      <w:szCs w:val="21"/>
    </w:rPr>
  </w:style>
  <w:style w:type="character" w:customStyle="1" w:styleId="53">
    <w:name w:val="批注主题 Char1"/>
    <w:basedOn w:val="52"/>
    <w:link w:val="31"/>
    <w:semiHidden/>
    <w:qFormat/>
    <w:locked/>
    <w:uiPriority w:val="99"/>
    <w:rPr>
      <w:b/>
      <w:bCs/>
    </w:rPr>
  </w:style>
  <w:style w:type="character" w:customStyle="1" w:styleId="54">
    <w:name w:val="正文文本 Char"/>
    <w:basedOn w:val="36"/>
    <w:link w:val="16"/>
    <w:qFormat/>
    <w:locked/>
    <w:uiPriority w:val="99"/>
    <w:rPr>
      <w:rFonts w:ascii="KaiTi_GB2312" w:hAnsi="Arial" w:eastAsia="KaiTi_GB2312" w:cs="Times New Roman"/>
      <w:sz w:val="28"/>
      <w:szCs w:val="28"/>
    </w:rPr>
  </w:style>
  <w:style w:type="character" w:customStyle="1" w:styleId="55">
    <w:name w:val="正文首行缩进 Char"/>
    <w:basedOn w:val="54"/>
    <w:link w:val="32"/>
    <w:qFormat/>
    <w:locked/>
    <w:uiPriority w:val="99"/>
    <w:rPr>
      <w:rFonts w:ascii="仿宋_GB2312" w:hAnsi="Times New Roman" w:eastAsia="仿宋_GB2312"/>
      <w:sz w:val="30"/>
      <w:szCs w:val="30"/>
    </w:rPr>
  </w:style>
  <w:style w:type="character" w:customStyle="1" w:styleId="56">
    <w:name w:val="文档结构图 Char"/>
    <w:basedOn w:val="36"/>
    <w:link w:val="13"/>
    <w:semiHidden/>
    <w:qFormat/>
    <w:locked/>
    <w:uiPriority w:val="99"/>
    <w:rPr>
      <w:rFonts w:ascii="Times New Roman" w:hAnsi="Times New Roman" w:eastAsia="宋体" w:cs="Times New Roman"/>
      <w:sz w:val="21"/>
      <w:szCs w:val="21"/>
      <w:shd w:val="clear" w:color="auto" w:fill="000080"/>
    </w:rPr>
  </w:style>
  <w:style w:type="character" w:customStyle="1" w:styleId="57">
    <w:name w:val="正文文本 3 Char"/>
    <w:basedOn w:val="36"/>
    <w:link w:val="15"/>
    <w:qFormat/>
    <w:locked/>
    <w:uiPriority w:val="99"/>
    <w:rPr>
      <w:rFonts w:ascii="仿宋_GB2312" w:hAnsi="Arial" w:eastAsia="仿宋_GB2312" w:cs="Times New Roman"/>
      <w:sz w:val="32"/>
      <w:szCs w:val="32"/>
    </w:rPr>
  </w:style>
  <w:style w:type="character" w:customStyle="1" w:styleId="58">
    <w:name w:val="正文文本缩进 Char"/>
    <w:basedOn w:val="36"/>
    <w:link w:val="17"/>
    <w:qFormat/>
    <w:locked/>
    <w:uiPriority w:val="99"/>
    <w:rPr>
      <w:rFonts w:ascii="KaiTi_GB2312" w:hAnsi="Times New Roman" w:eastAsia="KaiTi_GB2312" w:cs="Times New Roman"/>
      <w:sz w:val="32"/>
      <w:szCs w:val="32"/>
    </w:rPr>
  </w:style>
  <w:style w:type="character" w:customStyle="1" w:styleId="59">
    <w:name w:val="纯文本 Char"/>
    <w:basedOn w:val="36"/>
    <w:link w:val="20"/>
    <w:qFormat/>
    <w:locked/>
    <w:uiPriority w:val="99"/>
    <w:rPr>
      <w:rFonts w:ascii="宋体" w:hAnsi="Courier New" w:eastAsia="宋体" w:cs="Courier New"/>
      <w:sz w:val="21"/>
      <w:szCs w:val="21"/>
    </w:rPr>
  </w:style>
  <w:style w:type="character" w:customStyle="1" w:styleId="60">
    <w:name w:val="日期 Char"/>
    <w:basedOn w:val="36"/>
    <w:link w:val="21"/>
    <w:qFormat/>
    <w:locked/>
    <w:uiPriority w:val="99"/>
    <w:rPr>
      <w:rFonts w:ascii="Times New Roman" w:hAnsi="Times New Roman" w:eastAsia="宋体" w:cs="Times New Roman"/>
      <w:sz w:val="24"/>
      <w:szCs w:val="24"/>
    </w:rPr>
  </w:style>
  <w:style w:type="character" w:customStyle="1" w:styleId="61">
    <w:name w:val="正文文本缩进 2 Char"/>
    <w:basedOn w:val="36"/>
    <w:link w:val="22"/>
    <w:qFormat/>
    <w:locked/>
    <w:uiPriority w:val="99"/>
    <w:rPr>
      <w:rFonts w:ascii="Arial" w:hAnsi="Arial" w:eastAsia="仿宋_GB2312" w:cs="Arial"/>
      <w:sz w:val="32"/>
      <w:szCs w:val="32"/>
    </w:rPr>
  </w:style>
  <w:style w:type="character" w:customStyle="1" w:styleId="62">
    <w:name w:val="批注框文本 Char1"/>
    <w:basedOn w:val="36"/>
    <w:link w:val="23"/>
    <w:semiHidden/>
    <w:qFormat/>
    <w:locked/>
    <w:uiPriority w:val="99"/>
    <w:rPr>
      <w:rFonts w:ascii="Times New Roman" w:hAnsi="Times New Roman" w:eastAsia="宋体" w:cs="Times New Roman"/>
      <w:sz w:val="18"/>
      <w:szCs w:val="18"/>
    </w:rPr>
  </w:style>
  <w:style w:type="character" w:customStyle="1" w:styleId="63">
    <w:name w:val="页脚 Char"/>
    <w:basedOn w:val="36"/>
    <w:link w:val="24"/>
    <w:qFormat/>
    <w:locked/>
    <w:uiPriority w:val="99"/>
    <w:rPr>
      <w:rFonts w:ascii="Times New Roman" w:hAnsi="Times New Roman" w:eastAsia="宋体" w:cs="Times New Roman"/>
      <w:sz w:val="18"/>
      <w:szCs w:val="18"/>
    </w:rPr>
  </w:style>
  <w:style w:type="character" w:customStyle="1" w:styleId="64">
    <w:name w:val="正文首行缩进 2 Char"/>
    <w:basedOn w:val="58"/>
    <w:link w:val="33"/>
    <w:qFormat/>
    <w:locked/>
    <w:uiPriority w:val="99"/>
    <w:rPr>
      <w:rFonts w:ascii="宋体" w:hAnsi="宋体" w:eastAsia="宋体"/>
      <w:sz w:val="20"/>
      <w:szCs w:val="20"/>
    </w:rPr>
  </w:style>
  <w:style w:type="character" w:customStyle="1" w:styleId="65">
    <w:name w:val="页眉 Char"/>
    <w:basedOn w:val="36"/>
    <w:link w:val="25"/>
    <w:qFormat/>
    <w:locked/>
    <w:uiPriority w:val="99"/>
    <w:rPr>
      <w:rFonts w:ascii="Times New Roman" w:hAnsi="Times New Roman" w:eastAsia="宋体" w:cs="Times New Roman"/>
      <w:sz w:val="18"/>
      <w:szCs w:val="18"/>
    </w:rPr>
  </w:style>
  <w:style w:type="character" w:customStyle="1" w:styleId="66">
    <w:name w:val="正文文本缩进 3 Char"/>
    <w:basedOn w:val="36"/>
    <w:link w:val="27"/>
    <w:qFormat/>
    <w:locked/>
    <w:uiPriority w:val="99"/>
    <w:rPr>
      <w:rFonts w:ascii="Arial" w:hAnsi="Arial" w:eastAsia="仿宋_GB2312" w:cs="Arial"/>
      <w:color w:val="FFFF00"/>
      <w:sz w:val="32"/>
      <w:szCs w:val="32"/>
    </w:rPr>
  </w:style>
  <w:style w:type="character" w:customStyle="1" w:styleId="67">
    <w:name w:val="正文文本 2 Char"/>
    <w:basedOn w:val="36"/>
    <w:link w:val="28"/>
    <w:qFormat/>
    <w:locked/>
    <w:uiPriority w:val="99"/>
    <w:rPr>
      <w:rFonts w:ascii="KaiTi_GB2312" w:hAnsi="Times New Roman" w:eastAsia="KaiTi_GB2312" w:cs="Times New Roman"/>
      <w:sz w:val="28"/>
      <w:szCs w:val="28"/>
    </w:rPr>
  </w:style>
  <w:style w:type="character" w:customStyle="1" w:styleId="68">
    <w:name w:val="正文缩进 Char"/>
    <w:link w:val="5"/>
    <w:qFormat/>
    <w:locked/>
    <w:uiPriority w:val="99"/>
    <w:rPr>
      <w:rFonts w:ascii="Times New Roman" w:hAnsi="Times New Roman" w:eastAsia="宋体"/>
      <w:sz w:val="21"/>
    </w:rPr>
  </w:style>
  <w:style w:type="paragraph" w:customStyle="1" w:styleId="69">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70">
    <w:name w:val="标题3"/>
    <w:basedOn w:val="1"/>
    <w:next w:val="1"/>
    <w:qFormat/>
    <w:uiPriority w:val="99"/>
    <w:pPr>
      <w:autoSpaceDE w:val="0"/>
      <w:autoSpaceDN w:val="0"/>
      <w:snapToGrid w:val="0"/>
      <w:spacing w:line="590" w:lineRule="atLeast"/>
      <w:ind w:firstLine="624"/>
    </w:pPr>
    <w:rPr>
      <w:rFonts w:ascii="方正黑体_GBK" w:eastAsia="方正黑体_GBK"/>
      <w:kern w:val="0"/>
      <w:sz w:val="32"/>
      <w:szCs w:val="32"/>
    </w:rPr>
  </w:style>
  <w:style w:type="paragraph" w:customStyle="1" w:styleId="71">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72">
    <w:name w:val="附录1"/>
    <w:qFormat/>
    <w:uiPriority w:val="99"/>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73">
    <w:name w:val="4"/>
    <w:basedOn w:val="1"/>
    <w:next w:val="27"/>
    <w:qFormat/>
    <w:uiPriority w:val="99"/>
    <w:pPr>
      <w:spacing w:line="360" w:lineRule="auto"/>
      <w:ind w:firstLine="420"/>
    </w:pPr>
    <w:rPr>
      <w:color w:val="FF0000"/>
      <w:sz w:val="24"/>
      <w:szCs w:val="24"/>
    </w:rPr>
  </w:style>
  <w:style w:type="paragraph" w:customStyle="1" w:styleId="74">
    <w:name w:val="样式1"/>
    <w:basedOn w:val="1"/>
    <w:qFormat/>
    <w:uiPriority w:val="99"/>
    <w:pPr>
      <w:tabs>
        <w:tab w:val="left" w:pos="709"/>
      </w:tabs>
      <w:adjustRightInd w:val="0"/>
      <w:ind w:left="709" w:hanging="709"/>
      <w:textAlignment w:val="baseline"/>
    </w:pPr>
    <w:rPr>
      <w:rFonts w:ascii="宋体" w:hAnsi="宋体"/>
      <w:kern w:val="0"/>
    </w:rPr>
  </w:style>
  <w:style w:type="paragraph" w:customStyle="1" w:styleId="75">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76">
    <w:name w:val="Body Text(ch)"/>
    <w:basedOn w:val="1"/>
    <w:next w:val="16"/>
    <w:qFormat/>
    <w:uiPriority w:val="99"/>
    <w:pPr>
      <w:spacing w:after="120"/>
    </w:pPr>
    <w:rPr>
      <w:rFonts w:ascii="宋体" w:hAnsi="Arial"/>
      <w:bCs/>
      <w:iCs/>
      <w:szCs w:val="24"/>
    </w:rPr>
  </w:style>
  <w:style w:type="paragraph" w:customStyle="1" w:styleId="77">
    <w:name w:val="图标"/>
    <w:basedOn w:val="1"/>
    <w:next w:val="1"/>
    <w:qFormat/>
    <w:uiPriority w:val="99"/>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8">
    <w:name w:val="xl25"/>
    <w:basedOn w:val="1"/>
    <w:qFormat/>
    <w:uiPriority w:val="99"/>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9">
    <w:name w:val="font5"/>
    <w:basedOn w:val="1"/>
    <w:qFormat/>
    <w:uiPriority w:val="99"/>
    <w:pPr>
      <w:widowControl/>
      <w:spacing w:before="100" w:beforeAutospacing="1" w:after="100" w:afterAutospacing="1"/>
      <w:jc w:val="left"/>
    </w:pPr>
    <w:rPr>
      <w:rFonts w:ascii="宋体" w:hAnsi="宋体"/>
      <w:kern w:val="0"/>
      <w:sz w:val="28"/>
      <w:szCs w:val="28"/>
    </w:rPr>
  </w:style>
  <w:style w:type="paragraph" w:customStyle="1" w:styleId="80">
    <w:name w:val="font6"/>
    <w:basedOn w:val="1"/>
    <w:qFormat/>
    <w:uiPriority w:val="99"/>
    <w:pPr>
      <w:widowControl/>
      <w:spacing w:before="100" w:beforeAutospacing="1" w:after="100" w:afterAutospacing="1"/>
      <w:jc w:val="left"/>
    </w:pPr>
    <w:rPr>
      <w:rFonts w:ascii="宋体" w:hAnsi="宋体"/>
      <w:kern w:val="0"/>
      <w:sz w:val="28"/>
      <w:szCs w:val="28"/>
      <w:u w:val="single"/>
    </w:rPr>
  </w:style>
  <w:style w:type="paragraph" w:customStyle="1" w:styleId="81">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82">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83">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4">
    <w:name w:val="xl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5">
    <w:name w:val="xl2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6">
    <w:name w:val="xl29"/>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87">
    <w:name w:val="xl30"/>
    <w:basedOn w:val="1"/>
    <w:qFormat/>
    <w:uiPriority w:val="99"/>
    <w:pPr>
      <w:widowControl/>
      <w:spacing w:before="100" w:beforeAutospacing="1" w:after="100" w:afterAutospacing="1"/>
      <w:jc w:val="center"/>
    </w:pPr>
    <w:rPr>
      <w:rFonts w:ascii="宋体" w:hAnsi="宋体"/>
      <w:b/>
      <w:bCs/>
      <w:kern w:val="0"/>
      <w:sz w:val="36"/>
      <w:szCs w:val="36"/>
    </w:rPr>
  </w:style>
  <w:style w:type="paragraph" w:customStyle="1" w:styleId="88">
    <w:name w:val="Char"/>
    <w:basedOn w:val="13"/>
    <w:qFormat/>
    <w:uiPriority w:val="0"/>
    <w:rPr>
      <w:rFonts w:ascii="Tahoma" w:hAnsi="Tahoma"/>
      <w:sz w:val="24"/>
      <w:szCs w:val="24"/>
    </w:rPr>
  </w:style>
  <w:style w:type="character" w:customStyle="1" w:styleId="89">
    <w:name w:val="批注文字 Char"/>
    <w:basedOn w:val="36"/>
    <w:link w:val="14"/>
    <w:semiHidden/>
    <w:qFormat/>
    <w:locked/>
    <w:uiPriority w:val="99"/>
    <w:rPr>
      <w:rFonts w:ascii="Times New Roman" w:hAnsi="Times New Roman" w:eastAsia="宋体" w:cs="Times New Roman"/>
      <w:sz w:val="21"/>
      <w:szCs w:val="21"/>
    </w:rPr>
  </w:style>
  <w:style w:type="character" w:customStyle="1" w:styleId="90">
    <w:name w:val="批注主题 Char"/>
    <w:basedOn w:val="89"/>
    <w:link w:val="31"/>
    <w:semiHidden/>
    <w:qFormat/>
    <w:locked/>
    <w:uiPriority w:val="99"/>
    <w:rPr>
      <w:b/>
      <w:bCs/>
    </w:rPr>
  </w:style>
  <w:style w:type="character" w:customStyle="1" w:styleId="91">
    <w:name w:val="批注框文本 Char"/>
    <w:basedOn w:val="36"/>
    <w:link w:val="23"/>
    <w:semiHidden/>
    <w:qFormat/>
    <w:locked/>
    <w:uiPriority w:val="99"/>
    <w:rPr>
      <w:rFonts w:ascii="Times New Roman" w:hAnsi="Times New Roman" w:eastAsia="宋体" w:cs="Times New Roman"/>
      <w:sz w:val="18"/>
      <w:szCs w:val="18"/>
    </w:rPr>
  </w:style>
  <w:style w:type="paragraph" w:customStyle="1" w:styleId="92">
    <w:name w:val="table_1stline"/>
    <w:basedOn w:val="1"/>
    <w:qFormat/>
    <w:uiPriority w:val="99"/>
    <w:pPr>
      <w:widowControl/>
      <w:spacing w:before="120"/>
      <w:jc w:val="left"/>
    </w:pPr>
    <w:rPr>
      <w:bCs/>
      <w:kern w:val="0"/>
      <w:sz w:val="20"/>
      <w:szCs w:val="20"/>
      <w:lang w:val="de-DE" w:eastAsia="de-DE"/>
    </w:rPr>
  </w:style>
  <w:style w:type="paragraph" w:customStyle="1" w:styleId="93">
    <w:name w:val="table_lines"/>
    <w:basedOn w:val="1"/>
    <w:qFormat/>
    <w:uiPriority w:val="99"/>
    <w:pPr>
      <w:widowControl/>
      <w:jc w:val="left"/>
    </w:pPr>
    <w:rPr>
      <w:kern w:val="0"/>
      <w:sz w:val="20"/>
      <w:szCs w:val="20"/>
      <w:lang w:val="de-DE" w:eastAsia="de-DE"/>
    </w:rPr>
  </w:style>
  <w:style w:type="character" w:customStyle="1" w:styleId="94">
    <w:name w:val="font5 Char"/>
    <w:qFormat/>
    <w:uiPriority w:val="99"/>
    <w:rPr>
      <w:rFonts w:ascii="宋体" w:hAnsi="宋体" w:eastAsia="宋体"/>
      <w:sz w:val="28"/>
      <w:lang w:val="en-US" w:eastAsia="zh-CN"/>
    </w:rPr>
  </w:style>
  <w:style w:type="paragraph" w:customStyle="1" w:styleId="95">
    <w:name w:val="Char Char Char Char"/>
    <w:basedOn w:val="13"/>
    <w:qFormat/>
    <w:uiPriority w:val="99"/>
    <w:pPr>
      <w:adjustRightInd w:val="0"/>
      <w:snapToGrid w:val="0"/>
      <w:spacing w:line="360" w:lineRule="auto"/>
    </w:pPr>
    <w:rPr>
      <w:rFonts w:ascii="Tahoma" w:hAnsi="Tahoma"/>
      <w:sz w:val="24"/>
      <w:szCs w:val="24"/>
    </w:rPr>
  </w:style>
  <w:style w:type="paragraph" w:customStyle="1" w:styleId="96">
    <w:name w:val="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97">
    <w:name w:val="列出段落1"/>
    <w:basedOn w:val="1"/>
    <w:qFormat/>
    <w:uiPriority w:val="99"/>
    <w:pPr>
      <w:widowControl/>
      <w:ind w:left="720"/>
      <w:contextualSpacing/>
      <w:jc w:val="left"/>
    </w:pPr>
    <w:rPr>
      <w:rFonts w:ascii="Calibri" w:hAnsi="Calibri"/>
      <w:kern w:val="0"/>
      <w:sz w:val="24"/>
      <w:szCs w:val="24"/>
      <w:lang w:eastAsia="en-US"/>
    </w:rPr>
  </w:style>
  <w:style w:type="paragraph" w:customStyle="1" w:styleId="98">
    <w:name w:val="Char Char Char Char Char Char Char Char Char Char"/>
    <w:basedOn w:val="1"/>
    <w:qFormat/>
    <w:uiPriority w:val="99"/>
    <w:pPr>
      <w:adjustRightInd w:val="0"/>
      <w:spacing w:line="360" w:lineRule="auto"/>
    </w:pPr>
    <w:rPr>
      <w:kern w:val="0"/>
      <w:sz w:val="24"/>
      <w:szCs w:val="20"/>
    </w:rPr>
  </w:style>
  <w:style w:type="character" w:customStyle="1" w:styleId="99">
    <w:name w:val="列出段落 Char"/>
    <w:link w:val="100"/>
    <w:qFormat/>
    <w:locked/>
    <w:uiPriority w:val="99"/>
    <w:rPr>
      <w:rFonts w:ascii="Calibri" w:hAnsi="Calibri"/>
      <w:sz w:val="24"/>
      <w:lang w:eastAsia="en-US"/>
    </w:rPr>
  </w:style>
  <w:style w:type="paragraph" w:customStyle="1" w:styleId="100">
    <w:name w:val="列出段落11"/>
    <w:basedOn w:val="1"/>
    <w:link w:val="99"/>
    <w:qFormat/>
    <w:uiPriority w:val="99"/>
    <w:pPr>
      <w:widowControl/>
      <w:ind w:left="720"/>
      <w:contextualSpacing/>
      <w:jc w:val="left"/>
    </w:pPr>
    <w:rPr>
      <w:rFonts w:ascii="Calibri" w:hAnsi="Calibri"/>
      <w:kern w:val="0"/>
      <w:sz w:val="24"/>
      <w:szCs w:val="20"/>
      <w:lang w:eastAsia="en-US"/>
    </w:rPr>
  </w:style>
  <w:style w:type="character" w:customStyle="1" w:styleId="101">
    <w:name w:val="二级目录 Char"/>
    <w:link w:val="102"/>
    <w:qFormat/>
    <w:locked/>
    <w:uiPriority w:val="99"/>
    <w:rPr>
      <w:b/>
      <w:kern w:val="2"/>
      <w:sz w:val="30"/>
      <w:szCs w:val="28"/>
      <w:lang w:val="en-US" w:eastAsia="zh-CN" w:bidi="ar-SA"/>
    </w:rPr>
  </w:style>
  <w:style w:type="paragraph" w:customStyle="1" w:styleId="102">
    <w:name w:val="二级目录"/>
    <w:next w:val="1"/>
    <w:link w:val="101"/>
    <w:qFormat/>
    <w:uiPriority w:val="99"/>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103">
    <w:name w:val="news12241"/>
    <w:basedOn w:val="36"/>
    <w:qFormat/>
    <w:uiPriority w:val="0"/>
    <w:rPr>
      <w:color w:val="000000"/>
      <w:sz w:val="18"/>
      <w:szCs w:val="18"/>
      <w:u w:val="none"/>
    </w:rPr>
  </w:style>
  <w:style w:type="character" w:customStyle="1" w:styleId="104">
    <w:name w:val="apple-converted-space"/>
    <w:basedOn w:val="36"/>
    <w:qFormat/>
    <w:uiPriority w:val="0"/>
  </w:style>
  <w:style w:type="paragraph" w:styleId="105">
    <w:name w:val="List Paragraph"/>
    <w:basedOn w:val="1"/>
    <w:qFormat/>
    <w:uiPriority w:val="34"/>
    <w:pPr>
      <w:ind w:firstLine="420" w:firstLineChars="200"/>
    </w:pPr>
    <w:rPr>
      <w:szCs w:val="24"/>
    </w:rPr>
  </w:style>
  <w:style w:type="character" w:customStyle="1" w:styleId="106">
    <w:name w:val="UserStyle_0"/>
    <w:basedOn w:val="107"/>
    <w:link w:val="1"/>
    <w:qFormat/>
    <w:uiPriority w:val="0"/>
    <w:rPr>
      <w:rFonts w:ascii="Times New Roman" w:hAnsi="Times New Roman" w:eastAsia="宋体" w:cs="Times New Roman"/>
      <w:kern w:val="2"/>
      <w:sz w:val="21"/>
      <w:szCs w:val="21"/>
      <w:lang w:val="en-US" w:eastAsia="zh-CN" w:bidi="ar-SA"/>
    </w:rPr>
  </w:style>
  <w:style w:type="character" w:customStyle="1" w:styleId="107">
    <w:name w:val="NormalCharacter"/>
    <w:link w:val="1"/>
    <w:qFormat/>
    <w:uiPriority w:val="0"/>
    <w:rPr>
      <w:rFonts w:ascii="Times New Roman" w:hAnsi="Times New Roman" w:eastAsia="宋体" w:cs="Times New Roman"/>
      <w:kern w:val="2"/>
      <w:sz w:val="21"/>
      <w:szCs w:val="21"/>
      <w:lang w:val="en-US" w:eastAsia="zh-CN" w:bidi="ar-SA"/>
    </w:rPr>
  </w:style>
  <w:style w:type="paragraph" w:customStyle="1" w:styleId="108">
    <w:name w:val="列出段落2"/>
    <w:basedOn w:val="1"/>
    <w:qFormat/>
    <w:uiPriority w:val="0"/>
    <w:pPr>
      <w:ind w:firstLine="420" w:firstLineChars="200"/>
    </w:pPr>
    <w:rPr>
      <w:rFonts w:ascii="Calibri" w:hAnsi="Calibri"/>
      <w:szCs w:val="22"/>
    </w:rPr>
  </w:style>
  <w:style w:type="character" w:customStyle="1" w:styleId="109">
    <w:name w:val="font11"/>
    <w:basedOn w:val="36"/>
    <w:qFormat/>
    <w:uiPriority w:val="0"/>
    <w:rPr>
      <w:rFonts w:hint="default" w:ascii="Times New Roman" w:hAnsi="Times New Roman" w:cs="Times New Roman"/>
      <w:color w:val="000000"/>
      <w:sz w:val="21"/>
      <w:szCs w:val="21"/>
      <w:u w:val="none"/>
    </w:rPr>
  </w:style>
  <w:style w:type="character" w:customStyle="1" w:styleId="110">
    <w:name w:val="font21"/>
    <w:basedOn w:val="36"/>
    <w:qFormat/>
    <w:uiPriority w:val="0"/>
    <w:rPr>
      <w:rFonts w:hint="eastAsia" w:ascii="宋体" w:hAnsi="宋体" w:eastAsia="宋体" w:cs="宋体"/>
      <w:color w:val="000000"/>
      <w:sz w:val="21"/>
      <w:szCs w:val="21"/>
      <w:u w:val="none"/>
    </w:rPr>
  </w:style>
  <w:style w:type="paragraph" w:customStyle="1" w:styleId="111">
    <w:name w:val="首行缩进"/>
    <w:basedOn w:val="1"/>
    <w:qFormat/>
    <w:uiPriority w:val="0"/>
    <w:pPr>
      <w:spacing w:line="360" w:lineRule="auto"/>
      <w:ind w:firstLine="480" w:firstLineChars="200"/>
    </w:pPr>
    <w:rPr>
      <w:rFonts w:ascii="宋体" w:hAnsi="宋体" w:cs="宋体"/>
      <w:kern w:val="0"/>
      <w:sz w:val="24"/>
    </w:rPr>
  </w:style>
  <w:style w:type="paragraph" w:customStyle="1" w:styleId="112">
    <w:name w:val="Normal_2_2"/>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F30C66-6668-4D55-A560-4080DFEF813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47</Pages>
  <Words>3578</Words>
  <Characters>20396</Characters>
  <Lines>169</Lines>
  <Paragraphs>47</Paragraphs>
  <TotalTime>10</TotalTime>
  <ScaleCrop>false</ScaleCrop>
  <LinksUpToDate>false</LinksUpToDate>
  <CharactersWithSpaces>23927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2020-05-08T06:54:00Z</dcterms:created>
  <dc:creator>lenovo</dc:creator>
  <cp:lastModifiedBy>45965</cp:lastModifiedBy>
  <cp:lastPrinted>2021-12-03T02:14:00Z</cp:lastPrinted>
  <dcterms:modified xsi:type="dcterms:W3CDTF">2022-03-17T07:58:36Z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071F5618B8A64CA6B009B033350EBAAC</vt:lpwstr>
  </property>
</Properties>
</file>